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4EB6">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5115DE84"/>
    <w:p w14:paraId="7A46F212"/>
    <w:p w14:paraId="79F6E1FF"/>
    <w:p w14:paraId="6DD9EDA4"/>
    <w:p w14:paraId="74C29D31"/>
    <w:p w14:paraId="1CF57362"/>
    <w:p w14:paraId="5EF028BE"/>
    <w:p w14:paraId="77ECA3E4"/>
    <w:p w14:paraId="67F6E547">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淮北市委党校</w:t>
      </w:r>
      <w:r>
        <w:rPr>
          <w:rFonts w:hint="eastAsia" w:ascii="Times New Roman" w:hAnsi="Times New Roman" w:eastAsia="华文中宋" w:cs="Times New Roman"/>
          <w:b/>
          <w:sz w:val="44"/>
          <w:szCs w:val="44"/>
          <w:lang w:eastAsia="zh-CN"/>
        </w:rPr>
        <w:t>2024年</w:t>
      </w:r>
    </w:p>
    <w:p w14:paraId="2DD6B4A8">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1772AB31"/>
    <w:p w14:paraId="7386FF33"/>
    <w:p w14:paraId="4FC1B900"/>
    <w:p w14:paraId="50F1A70F"/>
    <w:p w14:paraId="795BD0B3"/>
    <w:p w14:paraId="3A91BEC4"/>
    <w:p w14:paraId="763701C9"/>
    <w:p w14:paraId="6A9DBAFF"/>
    <w:p w14:paraId="55E2F5B5"/>
    <w:p w14:paraId="08AC3E5C"/>
    <w:p w14:paraId="2606B6D1"/>
    <w:p w14:paraId="30AAB2F1"/>
    <w:p w14:paraId="79BC64E0"/>
    <w:p w14:paraId="039CC8D3"/>
    <w:p w14:paraId="54C332C9"/>
    <w:p w14:paraId="1E03A5E1"/>
    <w:p w14:paraId="04197284"/>
    <w:p w14:paraId="60AC08AE"/>
    <w:p w14:paraId="10751DBD"/>
    <w:p w14:paraId="40E561F6"/>
    <w:p w14:paraId="6D7CFCFE"/>
    <w:p w14:paraId="607D86C0"/>
    <w:p w14:paraId="6AC65EDE"/>
    <w:p w14:paraId="12A3B839">
      <w:pPr>
        <w:pStyle w:val="4"/>
        <w:adjustRightInd w:val="0"/>
        <w:snapToGrid w:val="0"/>
        <w:spacing w:line="560" w:lineRule="exact"/>
        <w:jc w:val="center"/>
        <w:rPr>
          <w:rFonts w:ascii="TimesNewRoman" w:hAnsi="TimesNewRoman" w:eastAsia="黑体" w:cs="TimesNewRoman"/>
          <w:bCs/>
          <w:sz w:val="44"/>
          <w:szCs w:val="44"/>
        </w:rPr>
      </w:pPr>
    </w:p>
    <w:p w14:paraId="6FEED384">
      <w:pPr>
        <w:pStyle w:val="4"/>
        <w:adjustRightInd w:val="0"/>
        <w:snapToGrid w:val="0"/>
        <w:spacing w:line="560" w:lineRule="exact"/>
        <w:jc w:val="center"/>
        <w:rPr>
          <w:rFonts w:hint="default" w:ascii="Times New Roman" w:hAnsi="Times New Roman" w:eastAsia="黑体" w:cs="Times New Roman"/>
          <w:bCs/>
          <w:sz w:val="44"/>
          <w:szCs w:val="44"/>
        </w:rPr>
      </w:pPr>
      <w:r>
        <w:rPr>
          <w:rFonts w:hint="eastAsia" w:ascii="Times New Roman" w:hAnsi="Times New Roman" w:eastAsia="黑体" w:cs="Times New Roman"/>
          <w:bCs/>
          <w:sz w:val="44"/>
          <w:szCs w:val="44"/>
          <w:lang w:eastAsia="zh-CN"/>
        </w:rPr>
        <w:t>2024年</w:t>
      </w:r>
      <w:r>
        <w:rPr>
          <w:rFonts w:hint="default" w:ascii="Times New Roman" w:hAnsi="Times New Roman" w:eastAsia="黑体" w:cs="Times New Roman"/>
          <w:bCs/>
          <w:sz w:val="44"/>
          <w:szCs w:val="44"/>
        </w:rPr>
        <w:t>2月</w:t>
      </w:r>
    </w:p>
    <w:p w14:paraId="06F22524"/>
    <w:p w14:paraId="74ADF09E"/>
    <w:p w14:paraId="64D05AFD">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1B582307"/>
    <w:p w14:paraId="68CC709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14:paraId="1CB2187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7ECA101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部门</w:t>
      </w:r>
      <w:r>
        <w:rPr>
          <w:rFonts w:hint="eastAsia" w:ascii="TimesNewRoman" w:hAnsi="TimesNewRoman" w:eastAsia="仿宋_GB2312" w:cs="TimesNewRoman"/>
          <w:bCs/>
          <w:sz w:val="32"/>
          <w:szCs w:val="32"/>
        </w:rPr>
        <w:t>预算构成</w:t>
      </w:r>
    </w:p>
    <w:p w14:paraId="543B5F4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、2024年度主要工作任务</w:t>
      </w:r>
    </w:p>
    <w:p w14:paraId="3629707A">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2024年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14:paraId="394ABB5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2024年收支总表</w:t>
      </w:r>
    </w:p>
    <w:p w14:paraId="65ACA3B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2024年收入总表</w:t>
      </w:r>
    </w:p>
    <w:p w14:paraId="62F02F5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2024年支出总表</w:t>
      </w:r>
    </w:p>
    <w:p w14:paraId="4A134F2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2024年财政拨款收支总表</w:t>
      </w:r>
    </w:p>
    <w:p w14:paraId="6ED3BB4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2024年一般公共预算支出表</w:t>
      </w:r>
    </w:p>
    <w:p w14:paraId="448A5C1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2024年一般公共预算基本支出表</w:t>
      </w:r>
    </w:p>
    <w:p w14:paraId="793B086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2024年政府性基金预算支出表</w:t>
      </w:r>
    </w:p>
    <w:p w14:paraId="7EC3AE7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2024年国有资本经营预算支出表</w:t>
      </w:r>
    </w:p>
    <w:p w14:paraId="321BC1E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2024年项目支出表</w:t>
      </w:r>
    </w:p>
    <w:p w14:paraId="41CAFE0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2024年政府采购支出表</w:t>
      </w:r>
    </w:p>
    <w:p w14:paraId="3312D9B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2024年政府购买服务支出表</w:t>
      </w:r>
    </w:p>
    <w:p w14:paraId="604DFC0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委党校</w:t>
      </w:r>
      <w:r>
        <w:rPr>
          <w:rFonts w:ascii="TimesNewRoman" w:hAnsi="TimesNewRoman" w:eastAsia="仿宋_GB2312" w:cs="TimesNewRoman"/>
          <w:bCs/>
          <w:sz w:val="32"/>
          <w:szCs w:val="32"/>
        </w:rPr>
        <w:t>2024年通用资产配置支出表</w:t>
      </w:r>
    </w:p>
    <w:p w14:paraId="5593989A">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2024年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预算情况说明</w:t>
      </w:r>
    </w:p>
    <w:p w14:paraId="5F7D166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1、关于2024年收支总表的说明</w:t>
      </w:r>
    </w:p>
    <w:p w14:paraId="415F014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2、关于2024年收入总表的说明</w:t>
      </w:r>
    </w:p>
    <w:p w14:paraId="2B05E0F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3、关于2024年支出总表的说明</w:t>
      </w:r>
    </w:p>
    <w:p w14:paraId="56FDB4B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4、关于2024年财政拨款收支总表的说明</w:t>
      </w:r>
    </w:p>
    <w:p w14:paraId="0F9ADD4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5、关于2024年一般公共预算支出表的说明</w:t>
      </w:r>
    </w:p>
    <w:p w14:paraId="7F09F26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6、关于2024年一般公共预算基本支出表的说明</w:t>
      </w:r>
    </w:p>
    <w:p w14:paraId="533B397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7、关于2024年政府性基金预算支出表的说明</w:t>
      </w:r>
    </w:p>
    <w:p w14:paraId="1114BB6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8、关于2024年国有资本经营预算支出表的说明</w:t>
      </w:r>
    </w:p>
    <w:p w14:paraId="345BF70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9、关于2024年项目支出表的说明</w:t>
      </w:r>
    </w:p>
    <w:p w14:paraId="53CDA9D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10、关于2024年政府采购支出表的说明</w:t>
      </w:r>
    </w:p>
    <w:p w14:paraId="088BF93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11、关于2024年政府购买服务支出表的说明</w:t>
      </w:r>
    </w:p>
    <w:p w14:paraId="18C68E3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2BB7CC6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060E3CC2">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7E23ACA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2024年部门预算纳入绩效考评项目表</w:t>
      </w:r>
    </w:p>
    <w:p w14:paraId="5F9BC52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委党校</w:t>
      </w:r>
      <w:r>
        <w:rPr>
          <w:rFonts w:hint="eastAsia" w:ascii="TimesNewRoman" w:hAnsi="TimesNewRoman" w:eastAsia="仿宋_GB2312" w:cs="TimesNewRoman"/>
          <w:bCs/>
          <w:sz w:val="32"/>
          <w:szCs w:val="32"/>
        </w:rPr>
        <w:t>2024年部门预算专项资金管理清单（专栏公开）</w:t>
      </w:r>
    </w:p>
    <w:p w14:paraId="57250E16">
      <w:pPr>
        <w:pStyle w:val="4"/>
        <w:adjustRightInd w:val="0"/>
        <w:snapToGrid w:val="0"/>
        <w:spacing w:line="400" w:lineRule="exact"/>
        <w:ind w:firstLine="800" w:firstLineChars="250"/>
        <w:rPr>
          <w:rFonts w:ascii="TimesNewRoman" w:hAnsi="TimesNewRoman" w:eastAsia="仿宋_GB2312" w:cs="TimesNewRoman"/>
          <w:bCs/>
          <w:sz w:val="32"/>
          <w:szCs w:val="32"/>
        </w:rPr>
      </w:pPr>
    </w:p>
    <w:p w14:paraId="12B07DC6">
      <w:pPr>
        <w:pStyle w:val="4"/>
        <w:adjustRightInd w:val="0"/>
        <w:snapToGrid w:val="0"/>
        <w:spacing w:line="560" w:lineRule="exact"/>
        <w:jc w:val="center"/>
        <w:rPr>
          <w:rFonts w:ascii="TimesNewRoman" w:hAnsi="TimesNewRoman" w:eastAsia="黑体" w:cs="TimesNewRoman"/>
          <w:bCs/>
          <w:sz w:val="36"/>
          <w:szCs w:val="36"/>
        </w:rPr>
      </w:pPr>
    </w:p>
    <w:p w14:paraId="2612345B">
      <w:pPr>
        <w:pStyle w:val="4"/>
        <w:adjustRightInd w:val="0"/>
        <w:snapToGrid w:val="0"/>
        <w:spacing w:line="560" w:lineRule="exact"/>
        <w:jc w:val="both"/>
        <w:rPr>
          <w:rFonts w:ascii="TimesNewRoman" w:hAnsi="TimesNewRoman" w:eastAsia="黑体" w:cs="TimesNewRoman"/>
          <w:bCs/>
          <w:sz w:val="36"/>
          <w:szCs w:val="36"/>
        </w:rPr>
      </w:pPr>
    </w:p>
    <w:p w14:paraId="0CC62EDB">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194D13CC">
      <w:pPr>
        <w:keepNext w:val="0"/>
        <w:keepLines w:val="0"/>
        <w:pageBreakBefore w:val="0"/>
        <w:kinsoku/>
        <w:wordWrap/>
        <w:overflowPunct/>
        <w:topLinePunct w:val="0"/>
        <w:autoSpaceDE/>
        <w:autoSpaceDN/>
        <w:bidi w:val="0"/>
        <w:spacing w:beforeAutospacing="0" w:afterAutospacing="0" w:line="560" w:lineRule="exact"/>
        <w:textAlignment w:val="auto"/>
      </w:pPr>
    </w:p>
    <w:p w14:paraId="315A4B0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495EDE2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（一）根据中央、省委和市委对干部队伍建设的要求，有计划地轮训和培训县处级领导干部、中青年干部、理论骨干、科级干部、任职公务员、初任公务员及党外干部。</w:t>
      </w:r>
    </w:p>
    <w:p w14:paraId="25A62B2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（二）围绕党的中心任务和市委、市政府的重大战略部署，对重大现实问题开展专题研究，为教学和社会实践服务，为市委、市政府科学决策服务。</w:t>
      </w:r>
    </w:p>
    <w:p w14:paraId="64E4173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（三）做好学员在校期间表现的考核工作，并根据干部的政治理论素质和工作能力提出使用建议。</w:t>
      </w:r>
    </w:p>
    <w:p w14:paraId="69950FB9">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（四）负责指导县、区委党校工作。</w:t>
      </w:r>
    </w:p>
    <w:p w14:paraId="7426208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（五）完成市委交办的其他工作。</w:t>
      </w:r>
    </w:p>
    <w:p w14:paraId="2FA4BBFC">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4306630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仿宋_GB2312" w:cs="Times New 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淮北市委党</w:t>
      </w:r>
      <w:r>
        <w:rPr>
          <w:rFonts w:hint="default" w:ascii="Times New Roman" w:hAnsi="Times New Roman" w:eastAsia="仿宋_GB2312" w:cs="Times New Roman"/>
          <w:bCs/>
          <w:sz w:val="32"/>
          <w:szCs w:val="32"/>
        </w:rPr>
        <w:t>校</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度部门预算仅包括</w:t>
      </w:r>
      <w:r>
        <w:rPr>
          <w:rFonts w:hint="default" w:ascii="Times New Roman" w:hAnsi="Times New Roman" w:eastAsia="仿宋_GB2312" w:cs="Times New Roman"/>
          <w:sz w:val="32"/>
          <w:szCs w:val="32"/>
          <w:lang w:eastAsia="zh-CN"/>
        </w:rPr>
        <w:t>校</w:t>
      </w:r>
      <w:r>
        <w:rPr>
          <w:rFonts w:hint="default" w:ascii="Times New Roman" w:hAnsi="Times New Roman" w:eastAsia="仿宋_GB2312" w:cs="Times New Roman"/>
          <w:sz w:val="32"/>
          <w:szCs w:val="32"/>
        </w:rPr>
        <w:t>本级预算，无其他下属单位预算。</w:t>
      </w:r>
    </w:p>
    <w:p w14:paraId="6193E59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度主要工作任务</w:t>
      </w:r>
    </w:p>
    <w:p w14:paraId="48D5080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（一）坚持以习近平新时代中国特色社会主义思想为指导,深入贯彻落实党的二十大精神,按照市委组织部下达的调学计划，抓好培训班、轮训班、专题班等各类班次的培训工作。</w:t>
      </w:r>
    </w:p>
    <w:p w14:paraId="0805A129">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（二）加大科研力度，打造精品课题、撰写高质量科研成果，推动科研工作再上新台阶，更好地为教学和社会实践服务，更好地为市委、市政府科学决策服务。</w:t>
      </w:r>
    </w:p>
    <w:p w14:paraId="1B909F77">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（三）扎实做好全省党校系统办学质量评估的各项准备工作。</w:t>
      </w:r>
    </w:p>
    <w:p w14:paraId="52AC2DD4">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按照省委党校要求，切实抓好在职研究生办学工作。</w:t>
      </w:r>
    </w:p>
    <w:p w14:paraId="7168DCC9">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深化教学、科研、行政后勤改革，提高教学科研和服务保障水平。</w:t>
      </w:r>
    </w:p>
    <w:p w14:paraId="153D4574">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加强和市直部门、县区之间的协调沟通，积极开展联合办学工作，不断推动干部培训工作。</w:t>
      </w:r>
    </w:p>
    <w:p w14:paraId="776A8559">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p w14:paraId="61E326A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第二部分 </w:t>
      </w:r>
      <w:r>
        <w:rPr>
          <w:rFonts w:hint="eastAsia" w:ascii="Times New Roman" w:hAnsi="Times New Roman" w:eastAsia="黑体" w:cs="Times New Roman"/>
          <w:bCs/>
          <w:sz w:val="36"/>
          <w:szCs w:val="36"/>
          <w:lang w:eastAsia="zh-CN"/>
        </w:rPr>
        <w:t>2024年</w:t>
      </w:r>
      <w:r>
        <w:rPr>
          <w:rFonts w:hint="default" w:ascii="Times New Roman" w:hAnsi="Times New Roman" w:eastAsia="黑体" w:cs="Times New Roman"/>
          <w:bCs/>
          <w:sz w:val="36"/>
          <w:szCs w:val="36"/>
        </w:rPr>
        <w:t>部门预算表</w:t>
      </w:r>
    </w:p>
    <w:p w14:paraId="0C389A6C">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14:paraId="1A0A350B">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rPr>
        <w:t xml:space="preserve">                                        </w:t>
      </w:r>
    </w:p>
    <w:p w14:paraId="7A50FBA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第三部分 </w:t>
      </w:r>
      <w:r>
        <w:rPr>
          <w:rFonts w:hint="eastAsia" w:ascii="Times New Roman" w:hAnsi="Times New Roman" w:eastAsia="黑体" w:cs="Times New Roman"/>
          <w:bCs/>
          <w:sz w:val="36"/>
          <w:szCs w:val="36"/>
          <w:lang w:eastAsia="zh-CN"/>
        </w:rPr>
        <w:t>2024年</w:t>
      </w:r>
      <w:r>
        <w:rPr>
          <w:rFonts w:hint="default" w:ascii="Times New Roman" w:hAnsi="Times New Roman" w:eastAsia="黑体" w:cs="Times New Roman"/>
          <w:bCs/>
          <w:sz w:val="36"/>
          <w:szCs w:val="36"/>
        </w:rPr>
        <w:t>部门预算情况说明</w:t>
      </w:r>
    </w:p>
    <w:p w14:paraId="7564CA0A">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rPr>
      </w:pPr>
    </w:p>
    <w:p w14:paraId="33B83C9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收支总表的说明</w:t>
      </w:r>
    </w:p>
    <w:p w14:paraId="26DDDEB3">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按照综合预算的原则，淮北市委党校所有收入和支出均纳入部门预算管理。淮北市委党校</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收支总预算</w:t>
      </w:r>
      <w:r>
        <w:rPr>
          <w:rFonts w:hint="eastAsia" w:ascii="Times New Roman" w:hAnsi="Times New Roman" w:eastAsia="仿宋_GB2312" w:cs="Times New Roman"/>
          <w:sz w:val="32"/>
          <w:szCs w:val="32"/>
          <w:lang w:val="en-US" w:eastAsia="zh-CN"/>
        </w:rPr>
        <w:t>3096.06</w:t>
      </w:r>
      <w:r>
        <w:rPr>
          <w:rFonts w:hint="default" w:ascii="Times New Roman" w:hAnsi="Times New Roman" w:eastAsia="仿宋_GB2312" w:cs="Times New Roman"/>
          <w:sz w:val="32"/>
          <w:szCs w:val="32"/>
        </w:rPr>
        <w:t>万元，收入包括一般公共预算拨款收入、政府性基金预算拨款收入、财政专户管理资金收入，支出包括：干部教育支出、社会保障和就业支出、卫生健康支出、住房保障支出。</w:t>
      </w:r>
    </w:p>
    <w:p w14:paraId="5075D36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收入总表的说明</w:t>
      </w:r>
    </w:p>
    <w:p w14:paraId="2A042353">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收入预算</w:t>
      </w:r>
      <w:r>
        <w:rPr>
          <w:rFonts w:hint="eastAsia" w:ascii="Times New Roman" w:hAnsi="Times New Roman" w:eastAsia="仿宋_GB2312" w:cs="Times New Roman"/>
          <w:kern w:val="0"/>
          <w:sz w:val="32"/>
          <w:szCs w:val="32"/>
          <w:lang w:val="en-US" w:eastAsia="zh-CN"/>
        </w:rPr>
        <w:t>3096.06</w:t>
      </w:r>
      <w:r>
        <w:rPr>
          <w:rFonts w:hint="default" w:ascii="Times New Roman" w:hAnsi="Times New Roman" w:eastAsia="仿宋_GB2312" w:cs="Times New Roman"/>
          <w:kern w:val="0"/>
          <w:sz w:val="32"/>
          <w:szCs w:val="32"/>
        </w:rPr>
        <w:t>万元，其中，本年收入</w:t>
      </w:r>
      <w:r>
        <w:rPr>
          <w:rFonts w:hint="eastAsia" w:ascii="Times New Roman" w:hAnsi="Times New Roman" w:eastAsia="仿宋_GB2312" w:cs="Times New Roman"/>
          <w:kern w:val="0"/>
          <w:sz w:val="32"/>
          <w:szCs w:val="32"/>
          <w:lang w:val="en-US" w:eastAsia="zh-CN"/>
        </w:rPr>
        <w:t>3096.06</w:t>
      </w:r>
      <w:r>
        <w:rPr>
          <w:rFonts w:hint="default" w:ascii="Times New Roman" w:hAnsi="Times New Roman" w:eastAsia="仿宋_GB2312" w:cs="Times New Roman"/>
          <w:kern w:val="0"/>
          <w:sz w:val="32"/>
          <w:szCs w:val="32"/>
        </w:rPr>
        <w:t>万元。</w:t>
      </w:r>
    </w:p>
    <w:p w14:paraId="3F7AA1ED">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eastAsia" w:ascii="TimesNewRoman" w:hAnsi="TimesNewRoman" w:eastAsia="仿宋_GB2312" w:cs="TimesNewRoman"/>
          <w:b/>
          <w:kern w:val="0"/>
          <w:sz w:val="32"/>
          <w:szCs w:val="32"/>
        </w:rPr>
        <w:t>（一）</w:t>
      </w:r>
      <w:r>
        <w:rPr>
          <w:rFonts w:hint="default" w:ascii="Times New Roman" w:hAnsi="Times New Roman" w:eastAsia="仿宋_GB2312" w:cs="Times New Roman"/>
          <w:b/>
          <w:kern w:val="0"/>
          <w:sz w:val="32"/>
          <w:szCs w:val="32"/>
        </w:rPr>
        <w:t>本年收入</w:t>
      </w:r>
      <w:r>
        <w:rPr>
          <w:rFonts w:hint="eastAsia" w:ascii="Times New Roman" w:hAnsi="Times New Roman" w:eastAsia="仿宋_GB2312" w:cs="Times New Roman"/>
          <w:b/>
          <w:kern w:val="0"/>
          <w:sz w:val="32"/>
          <w:szCs w:val="32"/>
          <w:lang w:val="en-US" w:eastAsia="zh-CN"/>
        </w:rPr>
        <w:t>3096.06</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eastAsia" w:ascii="Times New Roman" w:hAnsi="Times New Roman" w:eastAsia="仿宋_GB2312" w:cs="Times New Roman"/>
          <w:kern w:val="0"/>
          <w:sz w:val="32"/>
          <w:szCs w:val="32"/>
          <w:lang w:val="en-US" w:eastAsia="zh-CN"/>
        </w:rPr>
        <w:t>2175.06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70.25</w:t>
      </w:r>
      <w:r>
        <w:rPr>
          <w:rFonts w:hint="default" w:ascii="Times New Roman" w:hAnsi="Times New Roman" w:eastAsia="仿宋_GB2312" w:cs="Times New Roman"/>
          <w:kern w:val="0"/>
          <w:sz w:val="32"/>
          <w:szCs w:val="32"/>
        </w:rPr>
        <w:t>%，比202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412.23</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降低</w:t>
      </w:r>
      <w:r>
        <w:rPr>
          <w:rFonts w:hint="eastAsia" w:ascii="Times New Roman" w:hAnsi="Times New Roman" w:eastAsia="仿宋_GB2312" w:cs="Times New Roman"/>
          <w:kern w:val="0"/>
          <w:sz w:val="32"/>
          <w:szCs w:val="32"/>
          <w:lang w:val="en-US" w:eastAsia="zh-CN"/>
        </w:rPr>
        <w:t>18.95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导致工资、社保等支出</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kern w:val="0"/>
          <w:sz w:val="32"/>
          <w:szCs w:val="32"/>
        </w:rPr>
        <w:t>；政府性基金预算拨款收入0万元，占0%，</w:t>
      </w:r>
      <w:r>
        <w:rPr>
          <w:rFonts w:hint="eastAsia" w:ascii="Times New Roman" w:hAnsi="Times New Roman" w:eastAsia="仿宋_GB2312" w:cs="Times New Roman"/>
          <w:kern w:val="0"/>
          <w:sz w:val="32"/>
          <w:szCs w:val="32"/>
          <w:lang w:eastAsia="zh-CN"/>
        </w:rPr>
        <w:t>与</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年预算相比无变化，原因主要是</w:t>
      </w:r>
      <w:r>
        <w:rPr>
          <w:rFonts w:hint="default" w:ascii="Times New Roman" w:hAnsi="Times New Roman" w:eastAsia="仿宋_GB2312" w:cs="Times New Roman"/>
          <w:sz w:val="32"/>
          <w:szCs w:val="32"/>
        </w:rPr>
        <w:t>无政府性基金预算支出</w:t>
      </w:r>
      <w:r>
        <w:rPr>
          <w:rFonts w:hint="default" w:ascii="Times New Roman" w:hAnsi="Times New Roman" w:eastAsia="仿宋_GB2312" w:cs="Times New Roman"/>
          <w:kern w:val="0"/>
          <w:sz w:val="32"/>
          <w:szCs w:val="32"/>
        </w:rPr>
        <w:t>；财政专户管理资金收入</w:t>
      </w:r>
      <w:r>
        <w:rPr>
          <w:rFonts w:hint="eastAsia" w:ascii="Times New Roman" w:hAnsi="Times New Roman" w:eastAsia="仿宋_GB2312" w:cs="Times New Roman"/>
          <w:kern w:val="0"/>
          <w:sz w:val="32"/>
          <w:szCs w:val="32"/>
          <w:lang w:val="en-US" w:eastAsia="zh-CN"/>
        </w:rPr>
        <w:t>921</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29.75</w:t>
      </w:r>
      <w:r>
        <w:rPr>
          <w:rFonts w:hint="default" w:ascii="Times New Roman" w:hAnsi="Times New Roman" w:eastAsia="仿宋_GB2312" w:cs="Times New Roman"/>
          <w:kern w:val="0"/>
          <w:sz w:val="32"/>
          <w:szCs w:val="32"/>
        </w:rPr>
        <w:t>%，比202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年预算增加</w:t>
      </w:r>
      <w:r>
        <w:rPr>
          <w:rFonts w:hint="eastAsia" w:ascii="Times New Roman" w:hAnsi="Times New Roman" w:eastAsia="仿宋_GB2312" w:cs="Times New Roman"/>
          <w:kern w:val="0"/>
          <w:sz w:val="32"/>
          <w:szCs w:val="32"/>
          <w:lang w:val="en-US" w:eastAsia="zh-CN"/>
        </w:rPr>
        <w:t>251</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27.25</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党校二期工程室内设施采购支出增长。</w:t>
      </w:r>
    </w:p>
    <w:p w14:paraId="7DDB627C">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支出总表的说明</w:t>
      </w:r>
    </w:p>
    <w:p w14:paraId="192B185A">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支出预算</w:t>
      </w:r>
      <w:r>
        <w:rPr>
          <w:rFonts w:hint="eastAsia" w:ascii="Times New Roman" w:hAnsi="Times New Roman" w:eastAsia="仿宋_GB2312" w:cs="Times New Roman"/>
          <w:b w:val="0"/>
          <w:bCs/>
          <w:kern w:val="0"/>
          <w:sz w:val="32"/>
          <w:szCs w:val="32"/>
          <w:lang w:val="en-US" w:eastAsia="zh-CN"/>
        </w:rPr>
        <w:t>3096.06</w:t>
      </w:r>
      <w:r>
        <w:rPr>
          <w:rFonts w:hint="default"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161.23</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降低</w:t>
      </w:r>
      <w:r>
        <w:rPr>
          <w:rFonts w:hint="eastAsia" w:ascii="Times New Roman" w:hAnsi="Times New Roman" w:eastAsia="仿宋_GB2312" w:cs="Times New Roman"/>
          <w:kern w:val="0"/>
          <w:sz w:val="32"/>
          <w:szCs w:val="32"/>
          <w:lang w:val="en-US" w:eastAsia="zh-CN"/>
        </w:rPr>
        <w:t>5.21</w:t>
      </w:r>
      <w:r>
        <w:rPr>
          <w:rFonts w:hint="default"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lang w:eastAsia="zh-CN"/>
        </w:rPr>
        <w:t>在职</w:t>
      </w:r>
      <w:r>
        <w:rPr>
          <w:rFonts w:hint="default" w:ascii="Times New Roman" w:hAnsi="Times New Roman" w:eastAsia="仿宋_GB2312" w:cs="Times New Roman"/>
          <w:kern w:val="0"/>
          <w:sz w:val="32"/>
          <w:szCs w:val="32"/>
        </w:rPr>
        <w:t>人员</w:t>
      </w:r>
      <w:r>
        <w:rPr>
          <w:rFonts w:hint="eastAsia"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和党校二期建设工程支出</w:t>
      </w:r>
      <w:r>
        <w:rPr>
          <w:rFonts w:hint="eastAsia"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。其中，基本支出</w:t>
      </w:r>
      <w:r>
        <w:rPr>
          <w:rFonts w:hint="eastAsia" w:ascii="Times New Roman" w:hAnsi="Times New Roman" w:eastAsia="仿宋_GB2312" w:cs="Times New Roman"/>
          <w:kern w:val="0"/>
          <w:sz w:val="32"/>
          <w:szCs w:val="32"/>
          <w:lang w:val="en-US" w:eastAsia="zh-CN"/>
        </w:rPr>
        <w:t>1655.06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53.46</w:t>
      </w:r>
      <w:r>
        <w:rPr>
          <w:rFonts w:hint="default" w:ascii="Times New Roman" w:hAnsi="Times New Roman" w:eastAsia="仿宋_GB2312" w:cs="Times New Roman"/>
          <w:kern w:val="0"/>
          <w:sz w:val="32"/>
          <w:szCs w:val="32"/>
        </w:rPr>
        <w:t>%，主要用于保障机构日常运转、完成日常工作任务；项目支出</w:t>
      </w:r>
      <w:r>
        <w:rPr>
          <w:rFonts w:hint="eastAsia" w:ascii="Times New Roman" w:hAnsi="Times New Roman" w:eastAsia="仿宋_GB2312" w:cs="Times New Roman"/>
          <w:kern w:val="0"/>
          <w:sz w:val="32"/>
          <w:szCs w:val="32"/>
          <w:lang w:val="en-US" w:eastAsia="zh-CN"/>
        </w:rPr>
        <w:t>1441</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46.54</w:t>
      </w:r>
      <w:r>
        <w:rPr>
          <w:rFonts w:hint="default" w:ascii="Times New Roman" w:hAnsi="Times New Roman" w:eastAsia="仿宋_GB2312" w:cs="Times New Roman"/>
          <w:kern w:val="0"/>
          <w:sz w:val="32"/>
          <w:szCs w:val="32"/>
        </w:rPr>
        <w:t>%，主要用于党校科研教学经费及二期建设支出。</w:t>
      </w:r>
    </w:p>
    <w:p w14:paraId="0BB49D9E">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财政拨款收支总表的说明</w:t>
      </w:r>
    </w:p>
    <w:p w14:paraId="754856DE">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财政拨款收支预算</w:t>
      </w:r>
      <w:r>
        <w:rPr>
          <w:rFonts w:hint="eastAsia" w:ascii="Times New Roman" w:hAnsi="Times New Roman" w:eastAsia="仿宋_GB2312" w:cs="Times New Roman"/>
          <w:kern w:val="0"/>
          <w:sz w:val="32"/>
          <w:szCs w:val="32"/>
          <w:lang w:val="en-US" w:eastAsia="zh-CN"/>
        </w:rPr>
        <w:t>2175.06</w:t>
      </w:r>
      <w:r>
        <w:rPr>
          <w:rFonts w:hint="default" w:ascii="Times New Roman" w:hAnsi="Times New Roman" w:eastAsia="仿宋_GB2312" w:cs="Times New Roman"/>
          <w:kern w:val="0"/>
          <w:sz w:val="32"/>
          <w:szCs w:val="32"/>
        </w:rPr>
        <w:t>万元。收入按资金来源分为：一般公共预算拨款</w:t>
      </w:r>
      <w:r>
        <w:rPr>
          <w:rFonts w:hint="eastAsia" w:ascii="Times New Roman" w:hAnsi="Times New Roman" w:eastAsia="仿宋_GB2312" w:cs="Times New Roman"/>
          <w:kern w:val="0"/>
          <w:sz w:val="32"/>
          <w:szCs w:val="32"/>
          <w:lang w:val="en-US" w:eastAsia="zh-CN"/>
        </w:rPr>
        <w:t>2175.06</w:t>
      </w:r>
      <w:r>
        <w:rPr>
          <w:rFonts w:hint="default" w:ascii="Times New Roman" w:hAnsi="Times New Roman" w:eastAsia="仿宋_GB2312" w:cs="Times New Roman"/>
          <w:kern w:val="0"/>
          <w:sz w:val="32"/>
          <w:szCs w:val="32"/>
        </w:rPr>
        <w:t>万元、政府性基金预算拨款0万元；按资金年度分为：本年财政拨款收入</w:t>
      </w:r>
      <w:r>
        <w:rPr>
          <w:rFonts w:hint="eastAsia" w:ascii="Times New Roman" w:hAnsi="Times New Roman" w:eastAsia="仿宋_GB2312" w:cs="Times New Roman"/>
          <w:kern w:val="0"/>
          <w:sz w:val="32"/>
          <w:szCs w:val="32"/>
          <w:lang w:val="en-US" w:eastAsia="zh-CN"/>
        </w:rPr>
        <w:t>2175.06</w:t>
      </w:r>
      <w:r>
        <w:rPr>
          <w:rFonts w:hint="default" w:ascii="Times New Roman" w:hAnsi="Times New Roman" w:eastAsia="仿宋_GB2312" w:cs="Times New Roman"/>
          <w:kern w:val="0"/>
          <w:sz w:val="32"/>
          <w:szCs w:val="32"/>
        </w:rPr>
        <w:t>万元。支出按功能分类分为：干部教育支出</w:t>
      </w:r>
      <w:r>
        <w:rPr>
          <w:rFonts w:hint="eastAsia" w:ascii="Times New Roman" w:hAnsi="Times New Roman" w:eastAsia="仿宋_GB2312" w:cs="Times New Roman"/>
          <w:kern w:val="0"/>
          <w:sz w:val="32"/>
          <w:szCs w:val="32"/>
          <w:lang w:val="en-US" w:eastAsia="zh-CN"/>
        </w:rPr>
        <w:t>1681.14</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77.29</w:t>
      </w:r>
      <w:r>
        <w:rPr>
          <w:rFonts w:hint="default" w:ascii="Times New Roman" w:hAnsi="Times New Roman" w:eastAsia="仿宋_GB2312" w:cs="Times New Roman"/>
          <w:kern w:val="0"/>
          <w:sz w:val="32"/>
          <w:szCs w:val="32"/>
        </w:rPr>
        <w:t>%；社会保障和就业支出</w:t>
      </w:r>
      <w:r>
        <w:rPr>
          <w:rFonts w:hint="eastAsia" w:ascii="Times New Roman" w:hAnsi="Times New Roman" w:eastAsia="仿宋_GB2312" w:cs="Times New Roman"/>
          <w:kern w:val="0"/>
          <w:sz w:val="32"/>
          <w:szCs w:val="32"/>
          <w:lang w:val="en-US" w:eastAsia="zh-CN"/>
        </w:rPr>
        <w:t>398.12</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18.30</w:t>
      </w:r>
      <w:r>
        <w:rPr>
          <w:rFonts w:hint="default" w:ascii="Times New Roman" w:hAnsi="Times New Roman" w:eastAsia="仿宋_GB2312" w:cs="Times New Roman"/>
          <w:kern w:val="0"/>
          <w:sz w:val="32"/>
          <w:szCs w:val="32"/>
        </w:rPr>
        <w:t>%；卫生健康支出</w:t>
      </w:r>
      <w:r>
        <w:rPr>
          <w:rFonts w:hint="eastAsia" w:ascii="Times New Roman" w:hAnsi="Times New Roman" w:eastAsia="仿宋_GB2312" w:cs="Times New Roman"/>
          <w:kern w:val="0"/>
          <w:sz w:val="32"/>
          <w:szCs w:val="32"/>
          <w:lang w:val="en-US" w:eastAsia="zh-CN"/>
        </w:rPr>
        <w:t>9.93</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0.46</w:t>
      </w:r>
      <w:r>
        <w:rPr>
          <w:rFonts w:hint="default" w:ascii="Times New Roman" w:hAnsi="Times New Roman" w:eastAsia="仿宋_GB2312" w:cs="Times New Roman"/>
          <w:kern w:val="0"/>
          <w:sz w:val="32"/>
          <w:szCs w:val="32"/>
        </w:rPr>
        <w:t>%；住房保障支出</w:t>
      </w:r>
      <w:r>
        <w:rPr>
          <w:rFonts w:hint="eastAsia" w:ascii="Times New Roman" w:hAnsi="Times New Roman" w:eastAsia="仿宋_GB2312" w:cs="Times New Roman"/>
          <w:kern w:val="0"/>
          <w:sz w:val="32"/>
          <w:szCs w:val="32"/>
          <w:lang w:val="en-US" w:eastAsia="zh-CN"/>
        </w:rPr>
        <w:t>85.88</w:t>
      </w:r>
      <w:r>
        <w:rPr>
          <w:rFonts w:hint="default" w:ascii="Times New Roman" w:hAnsi="Times New Roman" w:eastAsia="仿宋_GB2312" w:cs="Times New Roman"/>
          <w:kern w:val="0"/>
          <w:sz w:val="32"/>
          <w:szCs w:val="32"/>
        </w:rPr>
        <w:t xml:space="preserve"> 万元，占</w:t>
      </w:r>
      <w:r>
        <w:rPr>
          <w:rFonts w:hint="eastAsia" w:ascii="Times New Roman" w:hAnsi="Times New Roman" w:eastAsia="仿宋_GB2312" w:cs="Times New Roman"/>
          <w:kern w:val="0"/>
          <w:sz w:val="32"/>
          <w:szCs w:val="32"/>
          <w:lang w:val="en-US" w:eastAsia="zh-CN"/>
        </w:rPr>
        <w:t>3.95</w:t>
      </w:r>
      <w:r>
        <w:rPr>
          <w:rFonts w:hint="default" w:ascii="Times New Roman" w:hAnsi="Times New Roman" w:eastAsia="仿宋_GB2312" w:cs="Times New Roman"/>
          <w:kern w:val="0"/>
          <w:sz w:val="32"/>
          <w:szCs w:val="32"/>
        </w:rPr>
        <w:t>%。</w:t>
      </w:r>
    </w:p>
    <w:p w14:paraId="0322937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一般公共预算支出表的说明</w:t>
      </w:r>
    </w:p>
    <w:p w14:paraId="7B74552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14:paraId="657103E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一般公共预算支出</w:t>
      </w:r>
      <w:r>
        <w:rPr>
          <w:rFonts w:hint="eastAsia" w:ascii="Times New Roman" w:hAnsi="Times New Roman" w:eastAsia="仿宋_GB2312" w:cs="Times New Roman"/>
          <w:kern w:val="0"/>
          <w:sz w:val="32"/>
          <w:szCs w:val="32"/>
          <w:lang w:val="en-US" w:eastAsia="zh-CN"/>
        </w:rPr>
        <w:t>2175.06</w:t>
      </w:r>
      <w:r>
        <w:rPr>
          <w:rFonts w:hint="default"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412.23</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降低</w:t>
      </w:r>
      <w:r>
        <w:rPr>
          <w:rFonts w:hint="eastAsia" w:ascii="Times New Roman" w:hAnsi="Times New Roman" w:eastAsia="仿宋_GB2312" w:cs="Times New Roman"/>
          <w:kern w:val="0"/>
          <w:sz w:val="32"/>
          <w:szCs w:val="32"/>
          <w:lang w:val="en-US" w:eastAsia="zh-CN"/>
        </w:rPr>
        <w:t>18.95</w:t>
      </w:r>
      <w:r>
        <w:rPr>
          <w:rFonts w:hint="default" w:ascii="Times New Roman" w:hAnsi="Times New Roman" w:eastAsia="仿宋_GB2312" w:cs="Times New Roman"/>
          <w:kern w:val="0"/>
          <w:sz w:val="32"/>
          <w:szCs w:val="32"/>
        </w:rPr>
        <w:t>%，主要原因：一是</w:t>
      </w:r>
      <w:r>
        <w:rPr>
          <w:rFonts w:hint="eastAsia" w:ascii="Times New Roman" w:hAnsi="Times New Roman" w:eastAsia="仿宋_GB2312" w:cs="Times New Roman"/>
          <w:kern w:val="0"/>
          <w:sz w:val="32"/>
          <w:szCs w:val="32"/>
          <w:lang w:eastAsia="zh-CN"/>
        </w:rPr>
        <w:t>在职</w:t>
      </w:r>
      <w:r>
        <w:rPr>
          <w:rFonts w:hint="default" w:ascii="Times New Roman" w:hAnsi="Times New Roman" w:eastAsia="仿宋_GB2312" w:cs="Times New Roman"/>
          <w:kern w:val="0"/>
          <w:sz w:val="32"/>
          <w:szCs w:val="32"/>
        </w:rPr>
        <w:t>人员</w:t>
      </w:r>
      <w:r>
        <w:rPr>
          <w:rFonts w:hint="eastAsia"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；二是党校二期建设工程支出</w:t>
      </w:r>
      <w:r>
        <w:rPr>
          <w:rFonts w:hint="eastAsia"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w:t>
      </w:r>
    </w:p>
    <w:p w14:paraId="2024D2F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14:paraId="11ECC4A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干部教育支出</w:t>
      </w:r>
      <w:r>
        <w:rPr>
          <w:rFonts w:hint="eastAsia" w:ascii="Times New Roman" w:hAnsi="Times New Roman" w:eastAsia="仿宋_GB2312" w:cs="Times New Roman"/>
          <w:kern w:val="0"/>
          <w:sz w:val="32"/>
          <w:szCs w:val="32"/>
          <w:lang w:val="en-US" w:eastAsia="zh-CN"/>
        </w:rPr>
        <w:t>1681.14</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77.29</w:t>
      </w:r>
      <w:r>
        <w:rPr>
          <w:rFonts w:hint="default" w:ascii="Times New Roman" w:hAnsi="Times New Roman" w:eastAsia="仿宋_GB2312" w:cs="Times New Roman"/>
          <w:kern w:val="0"/>
          <w:sz w:val="32"/>
          <w:szCs w:val="32"/>
        </w:rPr>
        <w:t>%；社会保障和就业支出</w:t>
      </w:r>
      <w:r>
        <w:rPr>
          <w:rFonts w:hint="eastAsia" w:ascii="Times New Roman" w:hAnsi="Times New Roman" w:eastAsia="仿宋_GB2312" w:cs="Times New Roman"/>
          <w:kern w:val="0"/>
          <w:sz w:val="32"/>
          <w:szCs w:val="32"/>
          <w:lang w:val="en-US" w:eastAsia="zh-CN"/>
        </w:rPr>
        <w:t>398.12</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18.30</w:t>
      </w:r>
      <w:r>
        <w:rPr>
          <w:rFonts w:hint="default" w:ascii="Times New Roman" w:hAnsi="Times New Roman" w:eastAsia="仿宋_GB2312" w:cs="Times New Roman"/>
          <w:kern w:val="0"/>
          <w:sz w:val="32"/>
          <w:szCs w:val="32"/>
        </w:rPr>
        <w:t>%；卫生健康支出</w:t>
      </w:r>
      <w:r>
        <w:rPr>
          <w:rFonts w:hint="eastAsia" w:ascii="Times New Roman" w:hAnsi="Times New Roman" w:eastAsia="仿宋_GB2312" w:cs="Times New Roman"/>
          <w:kern w:val="0"/>
          <w:sz w:val="32"/>
          <w:szCs w:val="32"/>
          <w:lang w:val="en-US" w:eastAsia="zh-CN"/>
        </w:rPr>
        <w:t>9.93</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0.46</w:t>
      </w:r>
      <w:r>
        <w:rPr>
          <w:rFonts w:hint="default" w:ascii="Times New Roman" w:hAnsi="Times New Roman" w:eastAsia="仿宋_GB2312" w:cs="Times New Roman"/>
          <w:kern w:val="0"/>
          <w:sz w:val="32"/>
          <w:szCs w:val="32"/>
        </w:rPr>
        <w:t>%；住房保障支出</w:t>
      </w:r>
      <w:r>
        <w:rPr>
          <w:rFonts w:hint="eastAsia" w:ascii="Times New Roman" w:hAnsi="Times New Roman" w:eastAsia="仿宋_GB2312" w:cs="Times New Roman"/>
          <w:kern w:val="0"/>
          <w:sz w:val="32"/>
          <w:szCs w:val="32"/>
          <w:lang w:val="en-US" w:eastAsia="zh-CN"/>
        </w:rPr>
        <w:t>85.88</w:t>
      </w:r>
      <w:r>
        <w:rPr>
          <w:rFonts w:hint="default" w:ascii="Times New Roman" w:hAnsi="Times New Roman" w:eastAsia="仿宋_GB2312" w:cs="Times New Roman"/>
          <w:kern w:val="0"/>
          <w:sz w:val="32"/>
          <w:szCs w:val="32"/>
        </w:rPr>
        <w:t xml:space="preserve"> 万元，占</w:t>
      </w:r>
      <w:r>
        <w:rPr>
          <w:rFonts w:hint="eastAsia" w:ascii="Times New Roman" w:hAnsi="Times New Roman" w:eastAsia="仿宋_GB2312" w:cs="Times New Roman"/>
          <w:kern w:val="0"/>
          <w:sz w:val="32"/>
          <w:szCs w:val="32"/>
          <w:lang w:val="en-US" w:eastAsia="zh-CN"/>
        </w:rPr>
        <w:t>3.95</w:t>
      </w:r>
      <w:r>
        <w:rPr>
          <w:rFonts w:hint="default" w:ascii="Times New Roman" w:hAnsi="Times New Roman" w:eastAsia="仿宋_GB2312" w:cs="Times New Roman"/>
          <w:kern w:val="0"/>
          <w:sz w:val="32"/>
          <w:szCs w:val="32"/>
        </w:rPr>
        <w:t>%。</w:t>
      </w:r>
    </w:p>
    <w:p w14:paraId="12DC1D6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14:paraId="17297B0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1.教育支出（类）进修及培训（款）干部教育（项）</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1681.14</w:t>
      </w:r>
      <w:r>
        <w:rPr>
          <w:rFonts w:hint="default" w:ascii="Times New Roman" w:hAnsi="Times New Roman" w:eastAsia="仿宋_GB2312" w:cs="Times New Roman"/>
          <w:b w:val="0"/>
          <w:bCs/>
          <w:sz w:val="32"/>
          <w:szCs w:val="32"/>
        </w:rPr>
        <w:t>万元，比202</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年预算</w:t>
      </w:r>
      <w:r>
        <w:rPr>
          <w:rFonts w:hint="eastAsia" w:ascii="Times New Roman" w:hAnsi="Times New Roman" w:eastAsia="仿宋_GB2312" w:cs="Times New Roman"/>
          <w:b w:val="0"/>
          <w:bCs/>
          <w:sz w:val="32"/>
          <w:szCs w:val="32"/>
          <w:lang w:eastAsia="zh-CN"/>
        </w:rPr>
        <w:t>减少</w:t>
      </w:r>
      <w:r>
        <w:rPr>
          <w:rFonts w:hint="eastAsia" w:ascii="Times New Roman" w:hAnsi="Times New Roman" w:eastAsia="仿宋_GB2312" w:cs="Times New Roman"/>
          <w:b w:val="0"/>
          <w:bCs/>
          <w:sz w:val="32"/>
          <w:szCs w:val="32"/>
          <w:lang w:val="en-US" w:eastAsia="zh-CN"/>
        </w:rPr>
        <w:t>293.58</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降低</w:t>
      </w:r>
      <w:r>
        <w:rPr>
          <w:rFonts w:hint="eastAsia" w:ascii="Times New Roman" w:hAnsi="Times New Roman" w:eastAsia="仿宋_GB2312" w:cs="Times New Roman"/>
          <w:b w:val="0"/>
          <w:bCs/>
          <w:sz w:val="32"/>
          <w:szCs w:val="32"/>
          <w:lang w:val="en-US" w:eastAsia="zh-CN"/>
        </w:rPr>
        <w:t>17.46</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减少</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在职人员减少</w:t>
      </w:r>
      <w:r>
        <w:rPr>
          <w:rFonts w:hint="default" w:ascii="Times New Roman" w:hAnsi="Times New Roman" w:eastAsia="仿宋_GB2312" w:cs="Times New Roman"/>
          <w:b w:val="0"/>
          <w:bCs/>
          <w:sz w:val="32"/>
          <w:szCs w:val="32"/>
        </w:rPr>
        <w:t>。</w:t>
      </w:r>
    </w:p>
    <w:p w14:paraId="7528A1AC">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2.社会保障和就业支出（类）行政事业单位养老支出（款）行政单位离退休（项）</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200.4</w:t>
      </w:r>
      <w:r>
        <w:rPr>
          <w:rFonts w:hint="default" w:ascii="Times New Roman" w:hAnsi="Times New Roman" w:eastAsia="仿宋_GB2312" w:cs="Times New Roman"/>
          <w:b w:val="0"/>
          <w:bCs/>
          <w:sz w:val="32"/>
          <w:szCs w:val="32"/>
        </w:rPr>
        <w:t>万元，比202</w:t>
      </w:r>
      <w:r>
        <w:rPr>
          <w:rFonts w:hint="eastAsia"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年预算增加</w:t>
      </w:r>
      <w:r>
        <w:rPr>
          <w:rFonts w:hint="eastAsia" w:ascii="Times New Roman" w:hAnsi="Times New Roman" w:eastAsia="仿宋_GB2312" w:cs="Times New Roman"/>
          <w:b w:val="0"/>
          <w:bCs/>
          <w:sz w:val="32"/>
          <w:szCs w:val="32"/>
          <w:lang w:val="en-US" w:eastAsia="zh-CN"/>
        </w:rPr>
        <w:t>14.9</w:t>
      </w:r>
      <w:r>
        <w:rPr>
          <w:rFonts w:hint="default" w:ascii="Times New Roman" w:hAnsi="Times New Roman" w:eastAsia="仿宋_GB2312" w:cs="Times New Roman"/>
          <w:b w:val="0"/>
          <w:bCs/>
          <w:sz w:val="32"/>
          <w:szCs w:val="32"/>
        </w:rPr>
        <w:t>万元，增长</w:t>
      </w:r>
      <w:r>
        <w:rPr>
          <w:rFonts w:hint="eastAsia" w:ascii="Times New Roman" w:hAnsi="Times New Roman" w:eastAsia="仿宋_GB2312" w:cs="Times New Roman"/>
          <w:b w:val="0"/>
          <w:bCs/>
          <w:sz w:val="32"/>
          <w:szCs w:val="32"/>
          <w:lang w:val="en-US" w:eastAsia="zh-CN"/>
        </w:rPr>
        <w:t>7.43</w:t>
      </w:r>
      <w:r>
        <w:rPr>
          <w:rFonts w:hint="default" w:ascii="Times New Roman" w:hAnsi="Times New Roman" w:eastAsia="仿宋_GB2312" w:cs="Times New Roman"/>
          <w:b w:val="0"/>
          <w:bCs/>
          <w:sz w:val="32"/>
          <w:szCs w:val="32"/>
        </w:rPr>
        <w:t>%，增长原因主要是</w:t>
      </w:r>
      <w:r>
        <w:rPr>
          <w:rFonts w:hint="eastAsia" w:ascii="Times New Roman" w:hAnsi="Times New Roman" w:eastAsia="仿宋_GB2312" w:cs="Times New Roman"/>
          <w:b w:val="0"/>
          <w:bCs/>
          <w:sz w:val="32"/>
          <w:szCs w:val="32"/>
          <w:lang w:eastAsia="zh-CN"/>
        </w:rPr>
        <w:t>离休人员补贴增加</w:t>
      </w:r>
      <w:r>
        <w:rPr>
          <w:rFonts w:hint="default" w:ascii="Times New Roman" w:hAnsi="Times New Roman" w:eastAsia="仿宋_GB2312" w:cs="Times New Roman"/>
          <w:b w:val="0"/>
          <w:bCs/>
          <w:sz w:val="32"/>
          <w:szCs w:val="32"/>
        </w:rPr>
        <w:t>。</w:t>
      </w:r>
    </w:p>
    <w:p w14:paraId="23FF82D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3.社会保障和就业支出（类）行政事业单位养老支出（款）机关事业单位基本养老保险缴费支出（项）</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131.03</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2023年</w:t>
      </w:r>
      <w:r>
        <w:rPr>
          <w:rFonts w:hint="default" w:ascii="Times New Roman" w:hAnsi="Times New Roman" w:eastAsia="仿宋_GB2312" w:cs="Times New Roman"/>
          <w:b w:val="0"/>
          <w:bCs/>
          <w:sz w:val="32"/>
          <w:szCs w:val="32"/>
        </w:rPr>
        <w:t>预算增加</w:t>
      </w:r>
      <w:r>
        <w:rPr>
          <w:rFonts w:hint="eastAsia" w:ascii="Times New Roman" w:hAnsi="Times New Roman" w:eastAsia="仿宋_GB2312" w:cs="Times New Roman"/>
          <w:b w:val="0"/>
          <w:bCs/>
          <w:sz w:val="32"/>
          <w:szCs w:val="32"/>
          <w:lang w:val="en-US" w:eastAsia="zh-CN"/>
        </w:rPr>
        <w:t>1.56</w:t>
      </w:r>
      <w:r>
        <w:rPr>
          <w:rFonts w:hint="default" w:ascii="Times New Roman" w:hAnsi="Times New Roman" w:eastAsia="仿宋_GB2312" w:cs="Times New Roman"/>
          <w:b w:val="0"/>
          <w:bCs/>
          <w:sz w:val="32"/>
          <w:szCs w:val="32"/>
        </w:rPr>
        <w:t>万元，增长</w:t>
      </w:r>
      <w:r>
        <w:rPr>
          <w:rFonts w:hint="eastAsia" w:ascii="Times New Roman" w:hAnsi="Times New Roman" w:eastAsia="仿宋_GB2312" w:cs="Times New Roman"/>
          <w:b w:val="0"/>
          <w:bCs/>
          <w:sz w:val="32"/>
          <w:szCs w:val="32"/>
          <w:lang w:val="en-US" w:eastAsia="zh-CN"/>
        </w:rPr>
        <w:t>1.19</w:t>
      </w:r>
      <w:r>
        <w:rPr>
          <w:rFonts w:hint="default" w:ascii="Times New Roman" w:hAnsi="Times New Roman" w:eastAsia="仿宋_GB2312" w:cs="Times New Roman"/>
          <w:b w:val="0"/>
          <w:bCs/>
          <w:sz w:val="32"/>
          <w:szCs w:val="32"/>
        </w:rPr>
        <w:t>%，增长原因主要是</w:t>
      </w:r>
      <w:r>
        <w:rPr>
          <w:rFonts w:hint="eastAsia" w:ascii="Times New Roman" w:hAnsi="Times New Roman" w:eastAsia="仿宋_GB2312" w:cs="Times New Roman"/>
          <w:b w:val="0"/>
          <w:bCs/>
          <w:sz w:val="32"/>
          <w:szCs w:val="32"/>
          <w:lang w:eastAsia="zh-CN"/>
        </w:rPr>
        <w:t>退休人员增加</w:t>
      </w:r>
      <w:r>
        <w:rPr>
          <w:rFonts w:hint="default" w:ascii="Times New Roman" w:hAnsi="Times New Roman" w:eastAsia="仿宋_GB2312" w:cs="Times New Roman"/>
          <w:b w:val="0"/>
          <w:bCs/>
          <w:sz w:val="32"/>
          <w:szCs w:val="32"/>
        </w:rPr>
        <w:t>。</w:t>
      </w:r>
    </w:p>
    <w:p w14:paraId="3A56DE2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4.社会保障和就业支出（类）行政事业单位养老支出（款）机关事业单位职业年金缴费支出（项）</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65.51</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2023年</w:t>
      </w:r>
      <w:r>
        <w:rPr>
          <w:rFonts w:hint="default" w:ascii="Times New Roman" w:hAnsi="Times New Roman" w:eastAsia="仿宋_GB2312" w:cs="Times New Roman"/>
          <w:b w:val="0"/>
          <w:bCs/>
          <w:sz w:val="32"/>
          <w:szCs w:val="32"/>
        </w:rPr>
        <w:t>预算增加</w:t>
      </w:r>
      <w:r>
        <w:rPr>
          <w:rFonts w:hint="eastAsia" w:ascii="Times New Roman" w:hAnsi="Times New Roman" w:eastAsia="仿宋_GB2312" w:cs="Times New Roman"/>
          <w:b w:val="0"/>
          <w:bCs/>
          <w:sz w:val="32"/>
          <w:szCs w:val="32"/>
          <w:lang w:val="en-US" w:eastAsia="zh-CN"/>
        </w:rPr>
        <w:t>0.77</w:t>
      </w:r>
      <w:r>
        <w:rPr>
          <w:rFonts w:hint="default" w:ascii="Times New Roman" w:hAnsi="Times New Roman" w:eastAsia="仿宋_GB2312" w:cs="Times New Roman"/>
          <w:b w:val="0"/>
          <w:bCs/>
          <w:sz w:val="32"/>
          <w:szCs w:val="32"/>
        </w:rPr>
        <w:t>万元，增长</w:t>
      </w:r>
      <w:r>
        <w:rPr>
          <w:rFonts w:hint="eastAsia" w:ascii="Times New Roman" w:hAnsi="Times New Roman" w:eastAsia="仿宋_GB2312" w:cs="Times New Roman"/>
          <w:b w:val="0"/>
          <w:bCs/>
          <w:sz w:val="32"/>
          <w:szCs w:val="32"/>
          <w:lang w:val="en-US" w:eastAsia="zh-CN"/>
        </w:rPr>
        <w:t>1.18</w:t>
      </w:r>
      <w:r>
        <w:rPr>
          <w:rFonts w:hint="default" w:ascii="Times New Roman" w:hAnsi="Times New Roman" w:eastAsia="仿宋_GB2312" w:cs="Times New Roman"/>
          <w:b w:val="0"/>
          <w:bCs/>
          <w:sz w:val="32"/>
          <w:szCs w:val="32"/>
        </w:rPr>
        <w:t>%，增长原因主要是</w:t>
      </w:r>
      <w:r>
        <w:rPr>
          <w:rFonts w:hint="eastAsia" w:ascii="Times New Roman" w:hAnsi="Times New Roman" w:eastAsia="仿宋_GB2312" w:cs="Times New Roman"/>
          <w:b w:val="0"/>
          <w:bCs/>
          <w:sz w:val="32"/>
          <w:szCs w:val="32"/>
          <w:lang w:eastAsia="zh-CN"/>
        </w:rPr>
        <w:t>退休人员增加</w:t>
      </w:r>
      <w:r>
        <w:rPr>
          <w:rFonts w:hint="default" w:ascii="Times New Roman" w:hAnsi="Times New Roman" w:eastAsia="仿宋_GB2312" w:cs="Times New Roman"/>
          <w:b w:val="0"/>
          <w:bCs/>
          <w:sz w:val="32"/>
          <w:szCs w:val="32"/>
        </w:rPr>
        <w:t>。</w:t>
      </w:r>
    </w:p>
    <w:p w14:paraId="77E7E80E">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5.社会保障和就业支出（类）其他社会保障和就业支出（款）其他社会保障和就业支出（项）</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1.17</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2023年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eastAsia="zh-CN"/>
        </w:rPr>
        <w:t>减少</w:t>
      </w:r>
      <w:r>
        <w:rPr>
          <w:rFonts w:hint="eastAsia" w:ascii="Times New Roman" w:hAnsi="Times New Roman" w:eastAsia="仿宋_GB2312" w:cs="Times New Roman"/>
          <w:b w:val="0"/>
          <w:bCs/>
          <w:sz w:val="32"/>
          <w:szCs w:val="32"/>
          <w:lang w:val="en-US" w:eastAsia="zh-CN"/>
        </w:rPr>
        <w:t>1.74</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降低</w:t>
      </w:r>
      <w:r>
        <w:rPr>
          <w:rFonts w:hint="eastAsia" w:ascii="Times New Roman" w:hAnsi="Times New Roman" w:eastAsia="仿宋_GB2312" w:cs="Times New Roman"/>
          <w:b w:val="0"/>
          <w:bCs/>
          <w:sz w:val="32"/>
          <w:szCs w:val="32"/>
          <w:lang w:val="en-US" w:eastAsia="zh-CN"/>
        </w:rPr>
        <w:t>148.72</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降低</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在职人员较少</w:t>
      </w:r>
      <w:r>
        <w:rPr>
          <w:rFonts w:hint="default" w:ascii="Times New Roman" w:hAnsi="Times New Roman" w:eastAsia="仿宋_GB2312" w:cs="Times New Roman"/>
          <w:b w:val="0"/>
          <w:bCs/>
          <w:sz w:val="32"/>
          <w:szCs w:val="32"/>
        </w:rPr>
        <w:t>。</w:t>
      </w:r>
    </w:p>
    <w:p w14:paraId="7C91D79F">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.卫生健康支出（类）行政事业单位医疗（款）公务员医疗补助（项）</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9.93</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w:t>
      </w:r>
      <w:bookmarkStart w:id="1" w:name="_GoBack"/>
      <w:bookmarkEnd w:id="1"/>
      <w:r>
        <w:rPr>
          <w:rFonts w:hint="eastAsia" w:ascii="Times New Roman" w:hAnsi="Times New Roman" w:eastAsia="仿宋_GB2312" w:cs="Times New Roman"/>
          <w:b w:val="0"/>
          <w:bCs/>
          <w:sz w:val="32"/>
          <w:szCs w:val="32"/>
          <w:lang w:eastAsia="zh-CN"/>
        </w:rPr>
        <w:t>3年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eastAsia="zh-CN"/>
        </w:rPr>
        <w:t>减少</w:t>
      </w:r>
      <w:r>
        <w:rPr>
          <w:rFonts w:hint="eastAsia" w:ascii="Times New Roman" w:hAnsi="Times New Roman" w:eastAsia="仿宋_GB2312" w:cs="Times New Roman"/>
          <w:b w:val="0"/>
          <w:bCs/>
          <w:sz w:val="32"/>
          <w:szCs w:val="32"/>
          <w:lang w:val="en-US" w:eastAsia="zh-CN"/>
        </w:rPr>
        <w:t>17.75</w:t>
      </w:r>
      <w:r>
        <w:rPr>
          <w:rFonts w:hint="default" w:ascii="Times New Roman" w:hAnsi="Times New Roman" w:eastAsia="仿宋_GB2312" w:cs="Times New Roman"/>
          <w:b w:val="0"/>
          <w:bCs/>
          <w:sz w:val="32"/>
          <w:szCs w:val="32"/>
        </w:rPr>
        <w:t>万元，</w:t>
      </w:r>
      <w:r>
        <w:rPr>
          <w:rFonts w:hint="eastAsia" w:ascii="Times New Roman" w:hAnsi="Times New Roman" w:eastAsia="仿宋_GB2312" w:cs="Times New Roman"/>
          <w:b w:val="0"/>
          <w:bCs/>
          <w:sz w:val="32"/>
          <w:szCs w:val="32"/>
          <w:lang w:eastAsia="zh-CN"/>
        </w:rPr>
        <w:t>降低</w:t>
      </w:r>
      <w:r>
        <w:rPr>
          <w:rFonts w:hint="eastAsia" w:ascii="Times New Roman" w:hAnsi="Times New Roman" w:eastAsia="仿宋_GB2312" w:cs="Times New Roman"/>
          <w:b w:val="0"/>
          <w:bCs/>
          <w:sz w:val="32"/>
          <w:szCs w:val="32"/>
          <w:lang w:val="en-US" w:eastAsia="zh-CN"/>
        </w:rPr>
        <w:t>178.75</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eastAsia="zh-CN"/>
        </w:rPr>
        <w:t>降低</w:t>
      </w:r>
      <w:r>
        <w:rPr>
          <w:rFonts w:hint="default" w:ascii="Times New Roman" w:hAnsi="Times New Roman" w:eastAsia="仿宋_GB2312" w:cs="Times New Roman"/>
          <w:b w:val="0"/>
          <w:bCs/>
          <w:sz w:val="32"/>
          <w:szCs w:val="32"/>
        </w:rPr>
        <w:t>原因主要是</w:t>
      </w:r>
      <w:r>
        <w:rPr>
          <w:rFonts w:hint="eastAsia" w:ascii="Times New Roman" w:hAnsi="Times New Roman" w:eastAsia="仿宋_GB2312" w:cs="Times New Roman"/>
          <w:b w:val="0"/>
          <w:bCs/>
          <w:sz w:val="32"/>
          <w:szCs w:val="32"/>
          <w:lang w:eastAsia="zh-CN"/>
        </w:rPr>
        <w:t>统计口径变化预算减少</w:t>
      </w:r>
      <w:r>
        <w:rPr>
          <w:rFonts w:hint="default" w:ascii="Times New Roman" w:hAnsi="Times New Roman" w:eastAsia="仿宋_GB2312" w:cs="Times New Roman"/>
          <w:b w:val="0"/>
          <w:bCs/>
          <w:sz w:val="32"/>
          <w:szCs w:val="32"/>
        </w:rPr>
        <w:t>。</w:t>
      </w:r>
    </w:p>
    <w:p w14:paraId="0CDF023A">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7</w:t>
      </w:r>
      <w:r>
        <w:rPr>
          <w:rFonts w:hint="default" w:ascii="Times New Roman" w:hAnsi="Times New Roman" w:eastAsia="仿宋_GB2312" w:cs="Times New Roman"/>
          <w:b w:val="0"/>
          <w:bCs/>
          <w:sz w:val="32"/>
          <w:szCs w:val="32"/>
        </w:rPr>
        <w:t>.住房保障支出（类）住房改革支出（款）</w:t>
      </w:r>
      <w:r>
        <w:rPr>
          <w:rFonts w:hint="eastAsia" w:ascii="Times New Roman" w:hAnsi="Times New Roman" w:eastAsia="仿宋_GB2312" w:cs="Times New Roman"/>
          <w:b w:val="0"/>
          <w:bCs/>
          <w:sz w:val="32"/>
          <w:szCs w:val="32"/>
          <w:lang w:eastAsia="zh-CN"/>
        </w:rPr>
        <w:t>提租补贴</w:t>
      </w:r>
      <w:r>
        <w:rPr>
          <w:rFonts w:hint="default" w:ascii="Times New Roman" w:hAnsi="Times New Roman" w:eastAsia="仿宋_GB2312" w:cs="Times New Roman"/>
          <w:b w:val="0"/>
          <w:bCs/>
          <w:sz w:val="32"/>
          <w:szCs w:val="32"/>
        </w:rPr>
        <w:t>（项）</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32.2</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2023年</w:t>
      </w:r>
      <w:r>
        <w:rPr>
          <w:rFonts w:hint="default" w:ascii="Times New Roman" w:hAnsi="Times New Roman" w:eastAsia="仿宋_GB2312" w:cs="Times New Roman"/>
          <w:b w:val="0"/>
          <w:bCs/>
          <w:sz w:val="32"/>
          <w:szCs w:val="32"/>
        </w:rPr>
        <w:t>预算增加</w:t>
      </w:r>
      <w:r>
        <w:rPr>
          <w:rFonts w:hint="eastAsia" w:ascii="Times New Roman" w:hAnsi="Times New Roman" w:eastAsia="仿宋_GB2312" w:cs="Times New Roman"/>
          <w:b w:val="0"/>
          <w:bCs/>
          <w:sz w:val="32"/>
          <w:szCs w:val="32"/>
          <w:lang w:val="en-US" w:eastAsia="zh-CN"/>
        </w:rPr>
        <w:t>32.2</w:t>
      </w:r>
      <w:r>
        <w:rPr>
          <w:rFonts w:hint="default" w:ascii="Times New Roman" w:hAnsi="Times New Roman" w:eastAsia="仿宋_GB2312" w:cs="Times New Roman"/>
          <w:b w:val="0"/>
          <w:bCs/>
          <w:sz w:val="32"/>
          <w:szCs w:val="32"/>
        </w:rPr>
        <w:t>万元，增长</w:t>
      </w:r>
      <w:r>
        <w:rPr>
          <w:rFonts w:hint="eastAsia" w:ascii="Times New Roman" w:hAnsi="Times New Roman" w:eastAsia="仿宋_GB2312" w:cs="Times New Roman"/>
          <w:b w:val="0"/>
          <w:bCs/>
          <w:sz w:val="32"/>
          <w:szCs w:val="32"/>
          <w:lang w:val="en-US" w:eastAsia="zh-CN"/>
        </w:rPr>
        <w:t>100</w:t>
      </w:r>
      <w:r>
        <w:rPr>
          <w:rFonts w:hint="default" w:ascii="Times New Roman" w:hAnsi="Times New Roman" w:eastAsia="仿宋_GB2312" w:cs="Times New Roman"/>
          <w:b w:val="0"/>
          <w:bCs/>
          <w:sz w:val="32"/>
          <w:szCs w:val="32"/>
        </w:rPr>
        <w:t>%，增长原因主要是</w:t>
      </w:r>
      <w:r>
        <w:rPr>
          <w:rFonts w:hint="eastAsia" w:ascii="Times New Roman" w:hAnsi="Times New Roman" w:eastAsia="仿宋_GB2312" w:cs="Times New Roman"/>
          <w:b w:val="0"/>
          <w:bCs/>
          <w:sz w:val="32"/>
          <w:szCs w:val="32"/>
          <w:lang w:eastAsia="zh-CN"/>
        </w:rPr>
        <w:t>新增提租补贴发放项目</w:t>
      </w:r>
      <w:r>
        <w:rPr>
          <w:rFonts w:hint="default" w:ascii="Times New Roman" w:hAnsi="Times New Roman" w:eastAsia="仿宋_GB2312" w:cs="Times New Roman"/>
          <w:b w:val="0"/>
          <w:bCs/>
          <w:sz w:val="32"/>
          <w:szCs w:val="32"/>
        </w:rPr>
        <w:t>。</w:t>
      </w:r>
    </w:p>
    <w:p w14:paraId="61E7F79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val="en-US" w:eastAsia="zh-CN"/>
        </w:rPr>
        <w:t>8</w:t>
      </w:r>
      <w:r>
        <w:rPr>
          <w:rFonts w:hint="default" w:ascii="Times New Roman" w:hAnsi="Times New Roman" w:eastAsia="仿宋_GB2312" w:cs="Times New Roman"/>
          <w:b w:val="0"/>
          <w:bCs/>
          <w:sz w:val="32"/>
          <w:szCs w:val="32"/>
        </w:rPr>
        <w:t>.住房保障支出（类）住房改革支出（款）购房补贴（项）　</w:t>
      </w:r>
      <w:r>
        <w:rPr>
          <w:rFonts w:hint="eastAsia" w:ascii="Times New Roman" w:hAnsi="Times New Roman" w:eastAsia="仿宋_GB2312" w:cs="Times New Roman"/>
          <w:b w:val="0"/>
          <w:bCs/>
          <w:sz w:val="32"/>
          <w:szCs w:val="32"/>
          <w:lang w:eastAsia="zh-CN"/>
        </w:rPr>
        <w:t>2024年</w:t>
      </w:r>
      <w:r>
        <w:rPr>
          <w:rFonts w:hint="default" w:ascii="Times New Roman" w:hAnsi="Times New Roman" w:eastAsia="仿宋_GB2312" w:cs="Times New Roman"/>
          <w:b w:val="0"/>
          <w:bCs/>
          <w:sz w:val="32"/>
          <w:szCs w:val="32"/>
        </w:rPr>
        <w:t>预算</w:t>
      </w:r>
      <w:r>
        <w:rPr>
          <w:rFonts w:hint="eastAsia" w:ascii="Times New Roman" w:hAnsi="Times New Roman" w:eastAsia="仿宋_GB2312" w:cs="Times New Roman"/>
          <w:b w:val="0"/>
          <w:bCs/>
          <w:sz w:val="32"/>
          <w:szCs w:val="32"/>
          <w:lang w:val="en-US" w:eastAsia="zh-CN"/>
        </w:rPr>
        <w:t>53.67</w:t>
      </w:r>
      <w:r>
        <w:rPr>
          <w:rFonts w:hint="default" w:ascii="Times New Roman" w:hAnsi="Times New Roman" w:eastAsia="仿宋_GB2312" w:cs="Times New Roman"/>
          <w:b w:val="0"/>
          <w:bCs/>
          <w:sz w:val="32"/>
          <w:szCs w:val="32"/>
        </w:rPr>
        <w:t>万元，比</w:t>
      </w:r>
      <w:r>
        <w:rPr>
          <w:rFonts w:hint="eastAsia" w:ascii="Times New Roman" w:hAnsi="Times New Roman" w:eastAsia="仿宋_GB2312" w:cs="Times New Roman"/>
          <w:b w:val="0"/>
          <w:bCs/>
          <w:sz w:val="32"/>
          <w:szCs w:val="32"/>
          <w:lang w:eastAsia="zh-CN"/>
        </w:rPr>
        <w:t>2023年</w:t>
      </w:r>
      <w:r>
        <w:rPr>
          <w:rFonts w:hint="default" w:ascii="Times New Roman" w:hAnsi="Times New Roman" w:eastAsia="仿宋_GB2312" w:cs="Times New Roman"/>
          <w:b w:val="0"/>
          <w:bCs/>
          <w:sz w:val="32"/>
          <w:szCs w:val="32"/>
        </w:rPr>
        <w:t>预算增加</w:t>
      </w:r>
      <w:r>
        <w:rPr>
          <w:rFonts w:hint="eastAsia" w:ascii="Times New Roman" w:hAnsi="Times New Roman" w:eastAsia="仿宋_GB2312" w:cs="Times New Roman"/>
          <w:b w:val="0"/>
          <w:bCs/>
          <w:sz w:val="32"/>
          <w:szCs w:val="32"/>
          <w:lang w:val="en-US" w:eastAsia="zh-CN"/>
        </w:rPr>
        <w:t>7.97</w:t>
      </w:r>
      <w:r>
        <w:rPr>
          <w:rFonts w:hint="default" w:ascii="Times New Roman" w:hAnsi="Times New Roman" w:eastAsia="仿宋_GB2312" w:cs="Times New Roman"/>
          <w:b w:val="0"/>
          <w:bCs/>
          <w:sz w:val="32"/>
          <w:szCs w:val="32"/>
        </w:rPr>
        <w:t>万元，增长</w:t>
      </w:r>
      <w:r>
        <w:rPr>
          <w:rFonts w:hint="eastAsia" w:ascii="Times New Roman" w:hAnsi="Times New Roman" w:eastAsia="仿宋_GB2312" w:cs="Times New Roman"/>
          <w:b w:val="0"/>
          <w:bCs/>
          <w:sz w:val="32"/>
          <w:szCs w:val="32"/>
          <w:lang w:val="en-US" w:eastAsia="zh-CN"/>
        </w:rPr>
        <w:t>14.85</w:t>
      </w:r>
      <w:r>
        <w:rPr>
          <w:rFonts w:hint="default" w:ascii="Times New Roman" w:hAnsi="Times New Roman" w:eastAsia="仿宋_GB2312" w:cs="Times New Roman"/>
          <w:b w:val="0"/>
          <w:bCs/>
          <w:sz w:val="32"/>
          <w:szCs w:val="32"/>
        </w:rPr>
        <w:t>%，增长原因主要是</w:t>
      </w:r>
      <w:r>
        <w:rPr>
          <w:rFonts w:hint="eastAsia" w:ascii="Times New Roman" w:hAnsi="Times New Roman" w:eastAsia="仿宋_GB2312" w:cs="Times New Roman"/>
          <w:b w:val="0"/>
          <w:bCs/>
          <w:sz w:val="32"/>
          <w:szCs w:val="32"/>
          <w:lang w:eastAsia="zh-CN"/>
        </w:rPr>
        <w:t>统计口径提高</w:t>
      </w:r>
      <w:r>
        <w:rPr>
          <w:rFonts w:hint="default" w:ascii="Times New Roman" w:hAnsi="Times New Roman" w:eastAsia="仿宋_GB2312" w:cs="Times New Roman"/>
          <w:b w:val="0"/>
          <w:bCs/>
          <w:sz w:val="32"/>
          <w:szCs w:val="32"/>
        </w:rPr>
        <w:t>。</w:t>
      </w:r>
    </w:p>
    <w:p w14:paraId="37FF994F">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一般公共预算基本支出表的说明</w:t>
      </w:r>
    </w:p>
    <w:p w14:paraId="79C714AF">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一般公共预算基本支出</w:t>
      </w:r>
      <w:r>
        <w:rPr>
          <w:rFonts w:hint="eastAsia" w:ascii="Times New Roman" w:hAnsi="Times New Roman" w:eastAsia="仿宋_GB2312" w:cs="Times New Roman"/>
          <w:kern w:val="0"/>
          <w:sz w:val="32"/>
          <w:szCs w:val="32"/>
          <w:lang w:val="en-US" w:eastAsia="zh-CN"/>
        </w:rPr>
        <w:t>1655.06</w:t>
      </w:r>
      <w:r>
        <w:rPr>
          <w:rFonts w:hint="default" w:ascii="Times New Roman" w:hAnsi="Times New Roman" w:eastAsia="仿宋_GB2312" w:cs="Times New Roman"/>
          <w:kern w:val="0"/>
          <w:sz w:val="32"/>
          <w:szCs w:val="32"/>
        </w:rPr>
        <w:t>万元，其中，人员经费</w:t>
      </w:r>
      <w:r>
        <w:rPr>
          <w:rFonts w:hint="eastAsia" w:ascii="Times New Roman" w:hAnsi="Times New Roman" w:eastAsia="仿宋_GB2312" w:cs="Times New Roman"/>
          <w:kern w:val="0"/>
          <w:sz w:val="32"/>
          <w:szCs w:val="32"/>
          <w:lang w:val="en-US" w:eastAsia="zh-CN"/>
        </w:rPr>
        <w:t>1528.46</w:t>
      </w:r>
      <w:r>
        <w:rPr>
          <w:rFonts w:hint="default" w:ascii="Times New Roman" w:hAnsi="Times New Roman" w:eastAsia="仿宋_GB2312" w:cs="Times New Roman"/>
          <w:kern w:val="0"/>
          <w:sz w:val="32"/>
          <w:szCs w:val="32"/>
        </w:rPr>
        <w:t>万元，公用经费</w:t>
      </w:r>
      <w:r>
        <w:rPr>
          <w:rFonts w:hint="eastAsia" w:ascii="Times New Roman" w:hAnsi="Times New Roman" w:eastAsia="仿宋_GB2312" w:cs="Times New Roman"/>
          <w:kern w:val="0"/>
          <w:sz w:val="32"/>
          <w:szCs w:val="32"/>
          <w:lang w:val="en-US" w:eastAsia="zh-CN"/>
        </w:rPr>
        <w:t>126.6</w:t>
      </w:r>
      <w:r>
        <w:rPr>
          <w:rFonts w:hint="default" w:ascii="Times New Roman" w:hAnsi="Times New Roman" w:eastAsia="仿宋_GB2312" w:cs="Times New Roman"/>
          <w:kern w:val="0"/>
          <w:sz w:val="32"/>
          <w:szCs w:val="32"/>
        </w:rPr>
        <w:t>万元。</w:t>
      </w:r>
    </w:p>
    <w:p w14:paraId="5FD1039A">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w:t>
      </w:r>
      <w:r>
        <w:rPr>
          <w:rFonts w:hint="eastAsia" w:ascii="Times New Roman" w:hAnsi="Times New Roman" w:eastAsia="仿宋_GB2312" w:cs="Times New Roman"/>
          <w:b/>
          <w:kern w:val="0"/>
          <w:sz w:val="32"/>
          <w:szCs w:val="32"/>
          <w:lang w:val="en-US" w:eastAsia="zh-CN"/>
        </w:rPr>
        <w:t>1528.46</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工会经费、福利费、住房公积金、医疗费、其他工资福利支出、离休费、抚恤金、生活补助、医疗费补助、助学金、对其他个人和家庭的补助支出。</w:t>
      </w:r>
    </w:p>
    <w:p w14:paraId="3B8CACBE">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w:t>
      </w:r>
      <w:r>
        <w:rPr>
          <w:rFonts w:hint="eastAsia" w:ascii="Times New Roman" w:hAnsi="Times New Roman" w:eastAsia="仿宋_GB2312" w:cs="Times New Roman"/>
          <w:b/>
          <w:kern w:val="0"/>
          <w:sz w:val="32"/>
          <w:szCs w:val="32"/>
          <w:lang w:val="en-US" w:eastAsia="zh-CN"/>
        </w:rPr>
        <w:t>126.6</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w:t>
      </w:r>
      <w:r>
        <w:rPr>
          <w:rFonts w:hint="default" w:ascii="Times New Roman" w:hAnsi="Times New Roman" w:eastAsia="仿宋_GB2312" w:cs="Times New Roman"/>
          <w:sz w:val="32"/>
          <w:szCs w:val="32"/>
        </w:rPr>
        <w:t>办公费、培训费、公务接待费、工会经费、福利费、其他交通费用、其他商品和服务支出等</w:t>
      </w:r>
      <w:r>
        <w:rPr>
          <w:rFonts w:hint="default" w:ascii="Times New Roman" w:hAnsi="Times New Roman" w:eastAsia="仿宋_GB2312" w:cs="Times New Roman"/>
          <w:kern w:val="0"/>
          <w:sz w:val="32"/>
          <w:szCs w:val="32"/>
        </w:rPr>
        <w:t>。</w:t>
      </w:r>
    </w:p>
    <w:p w14:paraId="622FC4A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政府性基金预算支出表的说明</w:t>
      </w:r>
    </w:p>
    <w:p w14:paraId="7CF43C23">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没有政府性基金预算拨款收入，也没有使用政府性基金预算拨款安排的支出。</w:t>
      </w:r>
    </w:p>
    <w:p w14:paraId="5E339D8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国有资本经营预算支出表的说明</w:t>
      </w:r>
    </w:p>
    <w:p w14:paraId="069B455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没有国有资本经营预算拨款收入，也没有使用国有资本经营预算拨款安排的支出。</w:t>
      </w:r>
    </w:p>
    <w:p w14:paraId="538CE7CC">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项目支出表的说明</w:t>
      </w:r>
    </w:p>
    <w:p w14:paraId="2BC43A7E">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预算共安排项目支出</w:t>
      </w:r>
      <w:r>
        <w:rPr>
          <w:rFonts w:hint="eastAsia" w:ascii="Times New Roman" w:hAnsi="Times New Roman" w:eastAsia="仿宋_GB2312" w:cs="Times New Roman"/>
          <w:kern w:val="0"/>
          <w:sz w:val="32"/>
          <w:szCs w:val="32"/>
          <w:lang w:val="en-US" w:eastAsia="zh-CN"/>
        </w:rPr>
        <w:t>1441</w:t>
      </w:r>
      <w:r>
        <w:rPr>
          <w:rFonts w:hint="default"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195</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降低</w:t>
      </w:r>
      <w:r>
        <w:rPr>
          <w:rFonts w:hint="eastAsia" w:ascii="Times New Roman" w:hAnsi="Times New Roman" w:eastAsia="仿宋_GB2312" w:cs="Times New Roman"/>
          <w:kern w:val="0"/>
          <w:sz w:val="32"/>
          <w:szCs w:val="32"/>
          <w:lang w:val="en-US" w:eastAsia="zh-CN"/>
        </w:rPr>
        <w:t>13.53</w:t>
      </w:r>
      <w:r>
        <w:rPr>
          <w:rFonts w:hint="default" w:ascii="Times New Roman" w:hAnsi="Times New Roman" w:eastAsia="仿宋_GB2312" w:cs="Times New Roman"/>
          <w:kern w:val="0"/>
          <w:sz w:val="32"/>
          <w:szCs w:val="32"/>
        </w:rPr>
        <w:t>%，原因主要是党校二期建设工程支出</w:t>
      </w:r>
      <w:r>
        <w:rPr>
          <w:rFonts w:hint="eastAsia"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。主要包括：本年财政拨款安排</w:t>
      </w:r>
      <w:r>
        <w:rPr>
          <w:rFonts w:hint="eastAsia" w:ascii="Times New Roman" w:hAnsi="Times New Roman" w:eastAsia="仿宋_GB2312" w:cs="Times New Roman"/>
          <w:kern w:val="0"/>
          <w:sz w:val="32"/>
          <w:szCs w:val="32"/>
          <w:lang w:val="en-US" w:eastAsia="zh-CN"/>
        </w:rPr>
        <w:t>520</w:t>
      </w:r>
      <w:r>
        <w:rPr>
          <w:rFonts w:hint="default" w:ascii="Times New Roman" w:hAnsi="Times New Roman" w:eastAsia="仿宋_GB2312" w:cs="Times New Roman"/>
          <w:kern w:val="0"/>
          <w:sz w:val="32"/>
          <w:szCs w:val="32"/>
        </w:rPr>
        <w:t>万元（其中，一般公共预算拨款安排</w:t>
      </w:r>
      <w:r>
        <w:rPr>
          <w:rFonts w:hint="eastAsia" w:ascii="Times New Roman" w:hAnsi="Times New Roman" w:eastAsia="仿宋_GB2312" w:cs="Times New Roman"/>
          <w:kern w:val="0"/>
          <w:sz w:val="32"/>
          <w:szCs w:val="32"/>
          <w:lang w:val="en-US" w:eastAsia="zh-CN"/>
        </w:rPr>
        <w:t>520</w:t>
      </w:r>
      <w:r>
        <w:rPr>
          <w:rFonts w:hint="default" w:ascii="Times New Roman" w:hAnsi="Times New Roman" w:eastAsia="仿宋_GB2312" w:cs="Times New Roman"/>
          <w:kern w:val="0"/>
          <w:sz w:val="32"/>
          <w:szCs w:val="32"/>
        </w:rPr>
        <w:t>万元，政府性基金预算拨款安排0万元），财政专户管理资金安排</w:t>
      </w:r>
      <w:r>
        <w:rPr>
          <w:rFonts w:hint="eastAsia" w:ascii="Times New Roman" w:hAnsi="Times New Roman" w:eastAsia="仿宋_GB2312" w:cs="Times New Roman"/>
          <w:kern w:val="0"/>
          <w:sz w:val="32"/>
          <w:szCs w:val="32"/>
          <w:lang w:val="en-US" w:eastAsia="zh-CN"/>
        </w:rPr>
        <w:t>921</w:t>
      </w:r>
      <w:r>
        <w:rPr>
          <w:rFonts w:hint="default" w:ascii="Times New Roman" w:hAnsi="Times New Roman" w:eastAsia="仿宋_GB2312" w:cs="Times New Roman"/>
          <w:kern w:val="0"/>
          <w:sz w:val="32"/>
          <w:szCs w:val="32"/>
        </w:rPr>
        <w:t>万元。</w:t>
      </w:r>
    </w:p>
    <w:p w14:paraId="7925E5F3">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政府采购支出表的说明</w:t>
      </w:r>
    </w:p>
    <w:p w14:paraId="7C33C1B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预算安排政府采购支出</w:t>
      </w:r>
      <w:r>
        <w:rPr>
          <w:rFonts w:hint="eastAsia" w:ascii="Times New Roman" w:hAnsi="Times New Roman" w:eastAsia="仿宋_GB2312" w:cs="Times New Roman"/>
          <w:kern w:val="0"/>
          <w:sz w:val="32"/>
          <w:szCs w:val="32"/>
          <w:lang w:val="en-US" w:eastAsia="zh-CN"/>
        </w:rPr>
        <w:t>446.89</w:t>
      </w:r>
      <w:r>
        <w:rPr>
          <w:rFonts w:hint="default"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年预算增加</w:t>
      </w:r>
      <w:r>
        <w:rPr>
          <w:rFonts w:hint="eastAsia" w:ascii="Times New Roman" w:hAnsi="Times New Roman" w:eastAsia="仿宋_GB2312" w:cs="Times New Roman"/>
          <w:kern w:val="0"/>
          <w:sz w:val="32"/>
          <w:szCs w:val="32"/>
          <w:lang w:val="en-US" w:eastAsia="zh-CN"/>
        </w:rPr>
        <w:t>261.19</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58.45</w:t>
      </w:r>
      <w:r>
        <w:rPr>
          <w:rFonts w:hint="default" w:ascii="Times New Roman" w:hAnsi="Times New Roman" w:eastAsia="仿宋_GB2312" w:cs="Times New Roman"/>
          <w:kern w:val="0"/>
          <w:sz w:val="32"/>
          <w:szCs w:val="32"/>
        </w:rPr>
        <w:t>%，原因主要是党校采购货物支出增加。其中，一般公共预算安排</w:t>
      </w:r>
      <w:r>
        <w:rPr>
          <w:rFonts w:hint="eastAsia" w:ascii="Times New Roman" w:hAnsi="Times New Roman" w:eastAsia="仿宋_GB2312" w:cs="Times New Roman"/>
          <w:kern w:val="0"/>
          <w:sz w:val="32"/>
          <w:szCs w:val="32"/>
          <w:lang w:val="en-US" w:eastAsia="zh-CN"/>
        </w:rPr>
        <w:t>384.89</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86.13</w:t>
      </w:r>
      <w:r>
        <w:rPr>
          <w:rFonts w:hint="default" w:ascii="Times New Roman" w:hAnsi="Times New Roman" w:eastAsia="仿宋_GB2312" w:cs="Times New Roman"/>
          <w:kern w:val="0"/>
          <w:sz w:val="32"/>
          <w:szCs w:val="32"/>
        </w:rPr>
        <w:t>%；政府性基金预算安排0万元，占0%；财政专户管理资金安排</w:t>
      </w:r>
      <w:r>
        <w:rPr>
          <w:rFonts w:hint="eastAsia" w:ascii="Times New Roman" w:hAnsi="Times New Roman" w:eastAsia="仿宋_GB2312" w:cs="Times New Roman"/>
          <w:kern w:val="0"/>
          <w:sz w:val="32"/>
          <w:szCs w:val="32"/>
          <w:lang w:val="en-US" w:eastAsia="zh-CN"/>
        </w:rPr>
        <w:t>62</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13.87</w:t>
      </w:r>
      <w:r>
        <w:rPr>
          <w:rFonts w:hint="default" w:ascii="Times New Roman" w:hAnsi="Times New Roman" w:eastAsia="仿宋_GB2312" w:cs="Times New Roman"/>
          <w:kern w:val="0"/>
          <w:sz w:val="32"/>
          <w:szCs w:val="32"/>
        </w:rPr>
        <w:t>%。</w:t>
      </w:r>
    </w:p>
    <w:p w14:paraId="113B8EB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w:t>
      </w:r>
      <w:r>
        <w:rPr>
          <w:rFonts w:hint="eastAsia" w:ascii="Times New Roman" w:hAnsi="Times New Roman" w:eastAsia="黑体" w:cs="Times New Roman"/>
          <w:bCs/>
          <w:sz w:val="32"/>
          <w:szCs w:val="32"/>
          <w:lang w:eastAsia="zh-CN"/>
        </w:rPr>
        <w:t>2024年</w:t>
      </w:r>
      <w:r>
        <w:rPr>
          <w:rFonts w:hint="default" w:ascii="Times New Roman" w:hAnsi="Times New Roman" w:eastAsia="黑体" w:cs="Times New Roman"/>
          <w:bCs/>
          <w:sz w:val="32"/>
          <w:szCs w:val="32"/>
        </w:rPr>
        <w:t>政府购买服务支出表的说明</w:t>
      </w:r>
    </w:p>
    <w:p w14:paraId="68D981B4">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预算安排政府购买服务支出</w:t>
      </w:r>
      <w:r>
        <w:rPr>
          <w:rFonts w:hint="eastAsia" w:ascii="Times New Roman" w:hAnsi="Times New Roman" w:eastAsia="仿宋_GB2312" w:cs="Times New Roman"/>
          <w:kern w:val="0"/>
          <w:sz w:val="32"/>
          <w:szCs w:val="32"/>
          <w:lang w:val="en-US" w:eastAsia="zh-CN"/>
        </w:rPr>
        <w:t>299.89</w:t>
      </w:r>
      <w:r>
        <w:rPr>
          <w:rFonts w:hint="default"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年预算增加</w:t>
      </w:r>
      <w:r>
        <w:rPr>
          <w:rFonts w:hint="eastAsia" w:ascii="Times New Roman" w:hAnsi="Times New Roman" w:eastAsia="仿宋_GB2312" w:cs="Times New Roman"/>
          <w:kern w:val="0"/>
          <w:sz w:val="32"/>
          <w:szCs w:val="32"/>
          <w:lang w:val="en-US" w:eastAsia="zh-CN"/>
        </w:rPr>
        <w:t>50.89</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16.97</w:t>
      </w:r>
      <w:r>
        <w:rPr>
          <w:rFonts w:hint="default" w:ascii="Times New Roman" w:hAnsi="Times New Roman" w:eastAsia="仿宋_GB2312" w:cs="Times New Roman"/>
          <w:kern w:val="0"/>
          <w:sz w:val="32"/>
          <w:szCs w:val="32"/>
        </w:rPr>
        <w:t>%，原因主要是培训人数增加，相应支出增加。</w:t>
      </w:r>
    </w:p>
    <w:p w14:paraId="280BBF1F">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十二、其他重要事项情况说明</w:t>
      </w:r>
    </w:p>
    <w:p w14:paraId="589EAB50">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14:paraId="1338CF2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1、“党校办学、科研经费”项目。</w:t>
      </w:r>
    </w:p>
    <w:p w14:paraId="061349FE">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根据我市干部教育培训规划和任务的要求和市委关于党校工作的相关规定，我校需举办各种类型的培训班次；深化理论研究，紧扣党的二十大报告核心要义和精神实质，深化习近平新时代中国特色社会主义思想研究阐释，发表一批高质量理论文章。加强对我市转型发展等重大问题研究，形成调研成果，为市委市政府决策提供依据。</w:t>
      </w:r>
    </w:p>
    <w:p w14:paraId="3604A17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（2）立项依据。《中国共产党党校（行政学院）工作条例》《社会主义学院工作暂行条例》《中共淮北市委关于加强和改进党校工作的意见》(淮发〔2010〕3号)</w:t>
      </w:r>
      <w:r>
        <w:rPr>
          <w:rFonts w:hint="default" w:ascii="Times New Roman" w:hAnsi="Times New Roman" w:eastAsia="仿宋_GB2312" w:cs="Times New Roman"/>
          <w:kern w:val="0"/>
          <w:sz w:val="32"/>
          <w:szCs w:val="32"/>
        </w:rPr>
        <w:tab/>
      </w:r>
    </w:p>
    <w:p w14:paraId="274E226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14:paraId="7088CD7A">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p>
    <w:p w14:paraId="63602C2F">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一是抓好干部教育培训。聚焦主责主业，立足教研咨宣核心工作，推动党的二十大精神进教材、进课堂、进头脑。进一步加强顶层设计，优化教学布局，积极推进课程体系建设。深化用学术讲政治教学改革，完善精品课打磨提升机制，精心打造一批样板课、示范课，逐步形成具有淮北特色、满足干部培训需要的课程体系。</w:t>
      </w:r>
    </w:p>
    <w:p w14:paraId="0287C92F">
      <w:pPr>
        <w:keepNext w:val="0"/>
        <w:keepLines w:val="0"/>
        <w:pageBreakBefore w:val="0"/>
        <w:kinsoku/>
        <w:wordWrap/>
        <w:overflowPunct/>
        <w:topLinePunct w:val="0"/>
        <w:autoSpaceDE/>
        <w:autoSpaceDN/>
        <w:bidi w:val="0"/>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二是抓好决策咨询工作。</w:t>
      </w:r>
      <w:r>
        <w:rPr>
          <w:rFonts w:hint="default" w:ascii="Times New Roman" w:hAnsi="Times New Roman" w:eastAsia="仿宋_GB2312" w:cs="Times New Roman"/>
          <w:sz w:val="32"/>
          <w:szCs w:val="32"/>
        </w:rPr>
        <w:t>《领导参考》全年10期以上的出版、责编、交流等；开展各项科研课题的调研。</w:t>
      </w:r>
    </w:p>
    <w:p w14:paraId="30D1983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eastAsia" w:ascii="Times New Roman" w:hAnsi="Times New Roman" w:eastAsia="仿宋_GB2312" w:cs="Times New Roman"/>
          <w:kern w:val="0"/>
          <w:sz w:val="32"/>
          <w:szCs w:val="32"/>
          <w:lang w:val="en-US" w:eastAsia="zh-CN"/>
        </w:rPr>
        <w:t>426</w:t>
      </w:r>
      <w:r>
        <w:rPr>
          <w:rFonts w:hint="default" w:ascii="Times New Roman" w:hAnsi="Times New Roman" w:eastAsia="仿宋_GB2312" w:cs="Times New Roman"/>
          <w:kern w:val="0"/>
          <w:sz w:val="32"/>
          <w:szCs w:val="32"/>
        </w:rPr>
        <w:t>万元</w:t>
      </w:r>
    </w:p>
    <w:p w14:paraId="79057E76">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F58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55A7DCC">
            <w:pPr>
              <w:widowControl/>
              <w:jc w:val="center"/>
              <w:textAlignment w:val="center"/>
              <w:rPr>
                <w:rFonts w:hint="default" w:ascii="Times New Roman" w:hAnsi="Times New Roman" w:cs="Times New Roman"/>
                <w:b/>
                <w:bCs/>
                <w:szCs w:val="32"/>
              </w:rPr>
            </w:pPr>
            <w:bookmarkStart w:id="0" w:name="_Hlk127312887"/>
            <w:r>
              <w:rPr>
                <w:rFonts w:hint="default" w:ascii="Times New Roman" w:hAnsi="Times New Roman" w:cs="Times New Roman"/>
                <w:b/>
                <w:color w:val="000000"/>
                <w:kern w:val="0"/>
                <w:sz w:val="28"/>
                <w:szCs w:val="28"/>
              </w:rPr>
              <w:t>项目支出绩效目标表</w:t>
            </w:r>
          </w:p>
        </w:tc>
      </w:tr>
      <w:tr w14:paraId="50DA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4C09BE6">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2024年</w:t>
            </w:r>
            <w:r>
              <w:rPr>
                <w:rFonts w:hint="default" w:ascii="Times New Roman" w:hAnsi="Times New Roman" w:cs="Times New Roman"/>
                <w:color w:val="000000"/>
                <w:kern w:val="0"/>
                <w:sz w:val="20"/>
                <w:szCs w:val="20"/>
              </w:rPr>
              <w:t xml:space="preserve">度）                                </w:t>
            </w:r>
          </w:p>
        </w:tc>
      </w:tr>
      <w:tr w14:paraId="7BAA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A5B147C">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14:paraId="1CD3B0D9">
            <w:pPr>
              <w:jc w:val="center"/>
              <w:rPr>
                <w:rFonts w:hint="default" w:ascii="Times New Roman" w:hAnsi="Times New Roman" w:cs="Times New Roman"/>
                <w:sz w:val="20"/>
              </w:rPr>
            </w:pPr>
            <w:r>
              <w:rPr>
                <w:rFonts w:hint="default" w:ascii="Times New Roman" w:hAnsi="Times New Roman" w:cs="Times New Roman"/>
                <w:sz w:val="20"/>
              </w:rPr>
              <w:t>党校办学、科研经费</w:t>
            </w:r>
          </w:p>
        </w:tc>
      </w:tr>
      <w:tr w14:paraId="2B8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B950D7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14:paraId="5DCC2F56">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14:paraId="391B4BDB">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14:paraId="736BF986">
            <w:pPr>
              <w:jc w:val="center"/>
              <w:rPr>
                <w:rFonts w:hint="default" w:ascii="Times New Roman" w:hAnsi="Times New Roman" w:cs="Times New Roman"/>
              </w:rPr>
            </w:pPr>
            <w:r>
              <w:rPr>
                <w:rFonts w:hint="default" w:ascii="Times New Roman" w:hAnsi="Times New Roman" w:cs="Times New Roman"/>
              </w:rPr>
              <w:t>中共淮北市委党校</w:t>
            </w:r>
          </w:p>
        </w:tc>
      </w:tr>
      <w:tr w14:paraId="1892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170A0D2">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14:paraId="5C2D4C1C">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14:paraId="50CBF464">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14:paraId="7A0D75F8">
            <w:pPr>
              <w:jc w:val="center"/>
              <w:rPr>
                <w:rFonts w:hint="default" w:ascii="Times New Roman" w:hAnsi="Times New Roman" w:cs="Times New Roman"/>
              </w:rPr>
            </w:pPr>
            <w:r>
              <w:rPr>
                <w:rFonts w:hint="default" w:ascii="Times New Roman" w:hAnsi="Times New Roman" w:cs="Times New Roman"/>
              </w:rPr>
              <w:t>202</w:t>
            </w:r>
            <w:r>
              <w:rPr>
                <w:rFonts w:hint="eastAsia" w:ascii="Times New Roman" w:hAnsi="Times New Roman" w:cs="Times New Roman"/>
                <w:lang w:val="en-US" w:eastAsia="zh-CN"/>
              </w:rPr>
              <w:t>4-2026</w:t>
            </w:r>
            <w:r>
              <w:rPr>
                <w:rFonts w:hint="default" w:ascii="Times New Roman" w:hAnsi="Times New Roman" w:cs="Times New Roman"/>
              </w:rPr>
              <w:t>年</w:t>
            </w:r>
          </w:p>
        </w:tc>
      </w:tr>
      <w:tr w14:paraId="7404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14:paraId="46C2CB6D">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14:paraId="6633EB1F">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14:paraId="441E7B45">
            <w:pPr>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426</w:t>
            </w:r>
          </w:p>
        </w:tc>
      </w:tr>
      <w:tr w14:paraId="7779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6B089D">
            <w:pPr>
              <w:jc w:val="center"/>
              <w:rPr>
                <w:rFonts w:hint="default" w:ascii="Times New Roman" w:hAnsi="Times New Roman" w:cs="Times New Roman"/>
                <w:sz w:val="20"/>
              </w:rPr>
            </w:pPr>
          </w:p>
        </w:tc>
        <w:tc>
          <w:tcPr>
            <w:tcW w:w="3349" w:type="dxa"/>
            <w:gridSpan w:val="2"/>
            <w:tcBorders>
              <w:tl2br w:val="nil"/>
              <w:tr2bl w:val="nil"/>
            </w:tcBorders>
            <w:vAlign w:val="center"/>
          </w:tcPr>
          <w:p w14:paraId="26FD85D6">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14:paraId="473A5896">
            <w:pPr>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426</w:t>
            </w:r>
          </w:p>
        </w:tc>
      </w:tr>
      <w:tr w14:paraId="5A96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0A7134A">
            <w:pPr>
              <w:jc w:val="center"/>
              <w:rPr>
                <w:rFonts w:hint="default" w:ascii="Times New Roman" w:hAnsi="Times New Roman" w:cs="Times New Roman"/>
                <w:sz w:val="20"/>
              </w:rPr>
            </w:pPr>
          </w:p>
        </w:tc>
        <w:tc>
          <w:tcPr>
            <w:tcW w:w="3349" w:type="dxa"/>
            <w:gridSpan w:val="2"/>
            <w:tcBorders>
              <w:tl2br w:val="nil"/>
              <w:tr2bl w:val="nil"/>
            </w:tcBorders>
            <w:vAlign w:val="center"/>
          </w:tcPr>
          <w:p w14:paraId="3555972C">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14:paraId="059A11CC">
            <w:pPr>
              <w:jc w:val="center"/>
              <w:rPr>
                <w:rFonts w:hint="default" w:ascii="Times New Roman" w:hAnsi="Times New Roman" w:cs="Times New Roman"/>
                <w:sz w:val="20"/>
              </w:rPr>
            </w:pPr>
            <w:r>
              <w:rPr>
                <w:rFonts w:hint="default" w:ascii="Times New Roman" w:hAnsi="Times New Roman" w:cs="Times New Roman"/>
                <w:sz w:val="20"/>
              </w:rPr>
              <w:t>0</w:t>
            </w:r>
          </w:p>
        </w:tc>
      </w:tr>
      <w:tr w14:paraId="0A57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BF38DF">
            <w:pPr>
              <w:jc w:val="center"/>
              <w:rPr>
                <w:rFonts w:hint="default" w:ascii="Times New Roman" w:hAnsi="Times New Roman" w:cs="Times New Roman"/>
                <w:sz w:val="20"/>
              </w:rPr>
            </w:pPr>
          </w:p>
        </w:tc>
        <w:tc>
          <w:tcPr>
            <w:tcW w:w="3349" w:type="dxa"/>
            <w:gridSpan w:val="2"/>
            <w:tcBorders>
              <w:tl2br w:val="nil"/>
              <w:tr2bl w:val="nil"/>
            </w:tcBorders>
            <w:vAlign w:val="center"/>
          </w:tcPr>
          <w:p w14:paraId="7593FCE0">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14:paraId="480AADB3">
            <w:pPr>
              <w:jc w:val="center"/>
              <w:rPr>
                <w:rFonts w:hint="default" w:ascii="Times New Roman" w:hAnsi="Times New Roman" w:cs="Times New Roman"/>
                <w:sz w:val="20"/>
              </w:rPr>
            </w:pPr>
            <w:r>
              <w:rPr>
                <w:rFonts w:hint="default" w:ascii="Times New Roman" w:hAnsi="Times New Roman" w:cs="Times New Roman"/>
                <w:sz w:val="20"/>
              </w:rPr>
              <w:t>0</w:t>
            </w:r>
          </w:p>
        </w:tc>
      </w:tr>
      <w:tr w14:paraId="0B98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B903509">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14:paraId="7F250CCB">
            <w:pPr>
              <w:rPr>
                <w:rFonts w:hint="default" w:ascii="Times New Roman" w:hAnsi="Times New Roman" w:cs="Times New Roman"/>
                <w:sz w:val="20"/>
                <w:szCs w:val="20"/>
              </w:rPr>
            </w:pPr>
            <w:r>
              <w:rPr>
                <w:rFonts w:hint="default" w:ascii="Times New Roman" w:hAnsi="Times New Roman" w:cs="Times New Roman"/>
                <w:sz w:val="20"/>
                <w:szCs w:val="20"/>
              </w:rPr>
              <w:t>目标1： 每年培训学员不少于600人次。</w:t>
            </w:r>
          </w:p>
          <w:p w14:paraId="412C6C0F">
            <w:pPr>
              <w:rPr>
                <w:rFonts w:hint="default" w:ascii="Times New Roman" w:hAnsi="Times New Roman" w:cs="Times New Roman"/>
                <w:sz w:val="20"/>
                <w:szCs w:val="20"/>
              </w:rPr>
            </w:pPr>
            <w:r>
              <w:rPr>
                <w:rFonts w:hint="default" w:ascii="Times New Roman" w:hAnsi="Times New Roman" w:cs="Times New Roman"/>
                <w:sz w:val="20"/>
                <w:szCs w:val="20"/>
              </w:rPr>
              <w:t>目标2：每年培训班不少于10期。</w:t>
            </w:r>
          </w:p>
          <w:p w14:paraId="0625FA45">
            <w:pPr>
              <w:rPr>
                <w:rFonts w:hint="default" w:ascii="Times New Roman" w:hAnsi="Times New Roman" w:cs="Times New Roman"/>
                <w:sz w:val="20"/>
                <w:szCs w:val="20"/>
              </w:rPr>
            </w:pPr>
            <w:r>
              <w:rPr>
                <w:rFonts w:hint="default" w:ascii="Times New Roman" w:hAnsi="Times New Roman" w:cs="Times New Roman"/>
                <w:sz w:val="20"/>
                <w:szCs w:val="20"/>
              </w:rPr>
              <w:t xml:space="preserve">目标3：每年《领导参考》全年10期以上的出版、责编、交流等； </w:t>
            </w:r>
          </w:p>
          <w:p w14:paraId="224A3674">
            <w:pPr>
              <w:jc w:val="left"/>
              <w:rPr>
                <w:rFonts w:hint="default" w:ascii="Times New Roman" w:hAnsi="Times New Roman" w:cs="Times New Roman"/>
                <w:sz w:val="20"/>
              </w:rPr>
            </w:pPr>
            <w:r>
              <w:rPr>
                <w:rFonts w:hint="default" w:ascii="Times New Roman" w:hAnsi="Times New Roman" w:cs="Times New Roman"/>
                <w:sz w:val="20"/>
                <w:szCs w:val="20"/>
              </w:rPr>
              <w:t>目标4：省级以上、市级、校级课题的调研活动的顺利开展。</w:t>
            </w:r>
          </w:p>
        </w:tc>
      </w:tr>
      <w:tr w14:paraId="549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C5CFFF3">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14:paraId="6FACBB6C">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14:paraId="2B6A1086">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14:paraId="1FD8EBEA">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14:paraId="0B152663">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14:paraId="567D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151E01">
            <w:pPr>
              <w:jc w:val="center"/>
              <w:rPr>
                <w:rFonts w:hint="default" w:ascii="Times New Roman" w:hAnsi="Times New Roman" w:cs="Times New Roman"/>
                <w:sz w:val="20"/>
              </w:rPr>
            </w:pPr>
          </w:p>
        </w:tc>
        <w:tc>
          <w:tcPr>
            <w:tcW w:w="723" w:type="dxa"/>
            <w:vMerge w:val="restart"/>
            <w:tcBorders>
              <w:tl2br w:val="nil"/>
              <w:tr2bl w:val="nil"/>
            </w:tcBorders>
            <w:vAlign w:val="center"/>
          </w:tcPr>
          <w:p w14:paraId="6827DF10">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vMerge w:val="restart"/>
            <w:tcBorders>
              <w:tl2br w:val="nil"/>
              <w:tr2bl w:val="nil"/>
            </w:tcBorders>
            <w:vAlign w:val="center"/>
          </w:tcPr>
          <w:p w14:paraId="6121855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14:paraId="3F5CF0E5">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培训课时数量</w:t>
            </w:r>
          </w:p>
        </w:tc>
        <w:tc>
          <w:tcPr>
            <w:tcW w:w="4228" w:type="dxa"/>
            <w:gridSpan w:val="2"/>
            <w:tcBorders>
              <w:tl2br w:val="nil"/>
              <w:tr2bl w:val="nil"/>
            </w:tcBorders>
            <w:vAlign w:val="center"/>
          </w:tcPr>
          <w:p w14:paraId="35988973">
            <w:pPr>
              <w:jc w:val="center"/>
              <w:rPr>
                <w:rFonts w:hint="default" w:ascii="Times New Roman" w:hAnsi="Times New Roman" w:cs="Times New Roman"/>
              </w:rPr>
            </w:pPr>
            <w:r>
              <w:rPr>
                <w:rFonts w:hint="default" w:ascii="Times New Roman" w:hAnsi="Times New Roman" w:cs="Times New Roman"/>
              </w:rPr>
              <w:t>≥500课时</w:t>
            </w:r>
          </w:p>
        </w:tc>
      </w:tr>
      <w:tr w14:paraId="3C1A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8ABFFB">
            <w:pPr>
              <w:jc w:val="center"/>
              <w:rPr>
                <w:rFonts w:hint="default" w:ascii="Times New Roman" w:hAnsi="Times New Roman" w:cs="Times New Roman"/>
                <w:sz w:val="20"/>
              </w:rPr>
            </w:pPr>
          </w:p>
        </w:tc>
        <w:tc>
          <w:tcPr>
            <w:tcW w:w="723" w:type="dxa"/>
            <w:vMerge w:val="continue"/>
            <w:tcBorders>
              <w:tl2br w:val="nil"/>
              <w:tr2bl w:val="nil"/>
            </w:tcBorders>
            <w:vAlign w:val="center"/>
          </w:tcPr>
          <w:p w14:paraId="7F8B9405">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2B58D754">
            <w:pPr>
              <w:jc w:val="center"/>
              <w:rPr>
                <w:rFonts w:hint="default" w:ascii="Times New Roman" w:hAnsi="Times New Roman" w:cs="Times New Roman"/>
                <w:sz w:val="20"/>
              </w:rPr>
            </w:pPr>
          </w:p>
        </w:tc>
        <w:tc>
          <w:tcPr>
            <w:tcW w:w="2872" w:type="dxa"/>
            <w:tcBorders>
              <w:tl2br w:val="nil"/>
              <w:tr2bl w:val="nil"/>
            </w:tcBorders>
            <w:vAlign w:val="bottom"/>
          </w:tcPr>
          <w:p w14:paraId="4800B98B">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公开发表论文数量</w:t>
            </w:r>
          </w:p>
        </w:tc>
        <w:tc>
          <w:tcPr>
            <w:tcW w:w="4228" w:type="dxa"/>
            <w:gridSpan w:val="2"/>
            <w:tcBorders>
              <w:tl2br w:val="nil"/>
              <w:tr2bl w:val="nil"/>
            </w:tcBorders>
            <w:vAlign w:val="center"/>
          </w:tcPr>
          <w:p w14:paraId="46836703">
            <w:pPr>
              <w:jc w:val="center"/>
              <w:rPr>
                <w:rFonts w:hint="default" w:ascii="Times New Roman" w:hAnsi="Times New Roman" w:cs="Times New Roman"/>
              </w:rPr>
            </w:pPr>
            <w:r>
              <w:rPr>
                <w:rFonts w:hint="default" w:ascii="Times New Roman" w:hAnsi="Times New Roman" w:cs="Times New Roman"/>
              </w:rPr>
              <w:t>≥20篇</w:t>
            </w:r>
          </w:p>
        </w:tc>
      </w:tr>
      <w:tr w14:paraId="70C7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17F27C">
            <w:pPr>
              <w:jc w:val="center"/>
              <w:rPr>
                <w:rFonts w:hint="default" w:ascii="Times New Roman" w:hAnsi="Times New Roman" w:cs="Times New Roman"/>
                <w:sz w:val="20"/>
              </w:rPr>
            </w:pPr>
          </w:p>
        </w:tc>
        <w:tc>
          <w:tcPr>
            <w:tcW w:w="723" w:type="dxa"/>
            <w:vMerge w:val="continue"/>
            <w:tcBorders>
              <w:tl2br w:val="nil"/>
              <w:tr2bl w:val="nil"/>
            </w:tcBorders>
            <w:vAlign w:val="center"/>
          </w:tcPr>
          <w:p w14:paraId="15EB784A">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7D47EB38">
            <w:pPr>
              <w:jc w:val="center"/>
              <w:rPr>
                <w:rFonts w:hint="default" w:ascii="Times New Roman" w:hAnsi="Times New Roman" w:cs="Times New Roman"/>
                <w:sz w:val="20"/>
              </w:rPr>
            </w:pPr>
          </w:p>
        </w:tc>
        <w:tc>
          <w:tcPr>
            <w:tcW w:w="2872" w:type="dxa"/>
            <w:tcBorders>
              <w:tl2br w:val="nil"/>
              <w:tr2bl w:val="nil"/>
            </w:tcBorders>
            <w:vAlign w:val="bottom"/>
          </w:tcPr>
          <w:p w14:paraId="6152371F">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培训班次</w:t>
            </w:r>
          </w:p>
        </w:tc>
        <w:tc>
          <w:tcPr>
            <w:tcW w:w="4228" w:type="dxa"/>
            <w:gridSpan w:val="2"/>
            <w:tcBorders>
              <w:tl2br w:val="nil"/>
              <w:tr2bl w:val="nil"/>
            </w:tcBorders>
            <w:vAlign w:val="center"/>
          </w:tcPr>
          <w:p w14:paraId="296F3F51">
            <w:pPr>
              <w:jc w:val="center"/>
              <w:rPr>
                <w:rFonts w:hint="default" w:ascii="Times New Roman" w:hAnsi="Times New Roman" w:cs="Times New Roman"/>
              </w:rPr>
            </w:pPr>
            <w:r>
              <w:rPr>
                <w:rFonts w:hint="default" w:ascii="Times New Roman" w:hAnsi="Times New Roman" w:cs="Times New Roman"/>
              </w:rPr>
              <w:t>≥13期</w:t>
            </w:r>
          </w:p>
        </w:tc>
      </w:tr>
      <w:tr w14:paraId="5508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ECCE636">
            <w:pPr>
              <w:jc w:val="center"/>
              <w:rPr>
                <w:rFonts w:hint="default" w:ascii="Times New Roman" w:hAnsi="Times New Roman" w:cs="Times New Roman"/>
                <w:sz w:val="20"/>
              </w:rPr>
            </w:pPr>
          </w:p>
        </w:tc>
        <w:tc>
          <w:tcPr>
            <w:tcW w:w="723" w:type="dxa"/>
            <w:vMerge w:val="continue"/>
            <w:tcBorders>
              <w:tl2br w:val="nil"/>
              <w:tr2bl w:val="nil"/>
            </w:tcBorders>
            <w:vAlign w:val="center"/>
          </w:tcPr>
          <w:p w14:paraId="3B00C2C6">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26CD38CC">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bottom"/>
          </w:tcPr>
          <w:p w14:paraId="4F239003">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经费支出合规性</w:t>
            </w:r>
          </w:p>
        </w:tc>
        <w:tc>
          <w:tcPr>
            <w:tcW w:w="4228" w:type="dxa"/>
            <w:gridSpan w:val="2"/>
            <w:tcBorders>
              <w:tl2br w:val="nil"/>
              <w:tr2bl w:val="nil"/>
            </w:tcBorders>
            <w:vAlign w:val="center"/>
          </w:tcPr>
          <w:p w14:paraId="0653DA47">
            <w:pPr>
              <w:jc w:val="center"/>
              <w:rPr>
                <w:rFonts w:hint="default" w:ascii="Times New Roman" w:hAnsi="Times New Roman" w:cs="Times New Roman"/>
              </w:rPr>
            </w:pPr>
            <w:r>
              <w:rPr>
                <w:rFonts w:hint="default" w:ascii="Times New Roman" w:hAnsi="Times New Roman" w:cs="Times New Roman"/>
              </w:rPr>
              <w:t>合规</w:t>
            </w:r>
          </w:p>
        </w:tc>
      </w:tr>
      <w:tr w14:paraId="5424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AC87CB">
            <w:pPr>
              <w:jc w:val="center"/>
              <w:rPr>
                <w:rFonts w:hint="default" w:ascii="Times New Roman" w:hAnsi="Times New Roman" w:cs="Times New Roman"/>
                <w:sz w:val="20"/>
              </w:rPr>
            </w:pPr>
          </w:p>
        </w:tc>
        <w:tc>
          <w:tcPr>
            <w:tcW w:w="723" w:type="dxa"/>
            <w:vMerge w:val="continue"/>
            <w:tcBorders>
              <w:tl2br w:val="nil"/>
              <w:tr2bl w:val="nil"/>
            </w:tcBorders>
            <w:vAlign w:val="center"/>
          </w:tcPr>
          <w:p w14:paraId="266AC609">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348A9BA9">
            <w:pPr>
              <w:jc w:val="center"/>
              <w:rPr>
                <w:rFonts w:hint="default" w:ascii="Times New Roman" w:hAnsi="Times New Roman" w:cs="Times New Roman"/>
                <w:sz w:val="20"/>
              </w:rPr>
            </w:pPr>
          </w:p>
        </w:tc>
        <w:tc>
          <w:tcPr>
            <w:tcW w:w="2872" w:type="dxa"/>
            <w:tcBorders>
              <w:tl2br w:val="nil"/>
              <w:tr2bl w:val="nil"/>
            </w:tcBorders>
            <w:vAlign w:val="bottom"/>
          </w:tcPr>
          <w:p w14:paraId="242F11D7">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培训出勤率</w:t>
            </w:r>
          </w:p>
        </w:tc>
        <w:tc>
          <w:tcPr>
            <w:tcW w:w="4228" w:type="dxa"/>
            <w:gridSpan w:val="2"/>
            <w:tcBorders>
              <w:tl2br w:val="nil"/>
              <w:tr2bl w:val="nil"/>
            </w:tcBorders>
            <w:vAlign w:val="center"/>
          </w:tcPr>
          <w:p w14:paraId="1060A372">
            <w:pPr>
              <w:jc w:val="center"/>
              <w:rPr>
                <w:rFonts w:hint="default" w:ascii="Times New Roman" w:hAnsi="Times New Roman" w:cs="Times New Roman"/>
              </w:rPr>
            </w:pPr>
            <w:r>
              <w:rPr>
                <w:rFonts w:hint="default" w:ascii="Times New Roman" w:hAnsi="Times New Roman" w:cs="Times New Roman"/>
              </w:rPr>
              <w:t>≥90%</w:t>
            </w:r>
          </w:p>
        </w:tc>
      </w:tr>
      <w:tr w14:paraId="52C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BAE799">
            <w:pPr>
              <w:jc w:val="center"/>
              <w:rPr>
                <w:rFonts w:hint="default" w:ascii="Times New Roman" w:hAnsi="Times New Roman" w:cs="Times New Roman"/>
                <w:sz w:val="20"/>
              </w:rPr>
            </w:pPr>
          </w:p>
        </w:tc>
        <w:tc>
          <w:tcPr>
            <w:tcW w:w="723" w:type="dxa"/>
            <w:vMerge w:val="continue"/>
            <w:tcBorders>
              <w:tl2br w:val="nil"/>
              <w:tr2bl w:val="nil"/>
            </w:tcBorders>
            <w:vAlign w:val="center"/>
          </w:tcPr>
          <w:p w14:paraId="07D5FA0B">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6E053CC3">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bottom"/>
          </w:tcPr>
          <w:p w14:paraId="5DC5D2D7">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培训完成时间</w:t>
            </w:r>
          </w:p>
        </w:tc>
        <w:tc>
          <w:tcPr>
            <w:tcW w:w="4228" w:type="dxa"/>
            <w:gridSpan w:val="2"/>
            <w:tcBorders>
              <w:tl2br w:val="nil"/>
              <w:tr2bl w:val="nil"/>
            </w:tcBorders>
            <w:vAlign w:val="center"/>
          </w:tcPr>
          <w:p w14:paraId="58851FE0">
            <w:pPr>
              <w:jc w:val="center"/>
              <w:rPr>
                <w:rFonts w:hint="default" w:ascii="Times New Roman" w:hAnsi="Times New Roman" w:cs="Times New Roman"/>
              </w:rPr>
            </w:pPr>
            <w:r>
              <w:rPr>
                <w:rFonts w:hint="default" w:ascii="Times New Roman" w:hAnsi="Times New Roman" w:cs="Times New Roman"/>
              </w:rPr>
              <w:t>12月底</w:t>
            </w:r>
          </w:p>
        </w:tc>
      </w:tr>
      <w:tr w14:paraId="70F3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BBC9317">
            <w:pPr>
              <w:jc w:val="center"/>
              <w:rPr>
                <w:rFonts w:hint="default" w:ascii="Times New Roman" w:hAnsi="Times New Roman" w:cs="Times New Roman"/>
                <w:sz w:val="20"/>
              </w:rPr>
            </w:pPr>
          </w:p>
        </w:tc>
        <w:tc>
          <w:tcPr>
            <w:tcW w:w="723" w:type="dxa"/>
            <w:vMerge w:val="continue"/>
            <w:tcBorders>
              <w:tl2br w:val="nil"/>
              <w:tr2bl w:val="nil"/>
            </w:tcBorders>
            <w:vAlign w:val="center"/>
          </w:tcPr>
          <w:p w14:paraId="7A2B6A07">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3C563DFD">
            <w:pPr>
              <w:jc w:val="center"/>
              <w:rPr>
                <w:rFonts w:hint="default" w:ascii="Times New Roman" w:hAnsi="Times New Roman" w:cs="Times New Roman"/>
                <w:sz w:val="20"/>
              </w:rPr>
            </w:pPr>
          </w:p>
        </w:tc>
        <w:tc>
          <w:tcPr>
            <w:tcW w:w="2872" w:type="dxa"/>
            <w:tcBorders>
              <w:tl2br w:val="nil"/>
              <w:tr2bl w:val="nil"/>
            </w:tcBorders>
            <w:vAlign w:val="bottom"/>
          </w:tcPr>
          <w:p w14:paraId="5A0FC171">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经费支出时效性</w:t>
            </w:r>
          </w:p>
        </w:tc>
        <w:tc>
          <w:tcPr>
            <w:tcW w:w="4228" w:type="dxa"/>
            <w:gridSpan w:val="2"/>
            <w:tcBorders>
              <w:tl2br w:val="nil"/>
              <w:tr2bl w:val="nil"/>
            </w:tcBorders>
            <w:vAlign w:val="center"/>
          </w:tcPr>
          <w:p w14:paraId="1BFE72A5">
            <w:pPr>
              <w:jc w:val="center"/>
              <w:rPr>
                <w:rFonts w:hint="default" w:ascii="Times New Roman" w:hAnsi="Times New Roman" w:cs="Times New Roman"/>
              </w:rPr>
            </w:pPr>
            <w:r>
              <w:rPr>
                <w:rFonts w:hint="default" w:ascii="Times New Roman" w:hAnsi="Times New Roman" w:cs="Times New Roman"/>
              </w:rPr>
              <w:t>及时</w:t>
            </w:r>
          </w:p>
        </w:tc>
      </w:tr>
      <w:tr w14:paraId="3B50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B902EF">
            <w:pPr>
              <w:jc w:val="center"/>
              <w:rPr>
                <w:rFonts w:hint="default" w:ascii="Times New Roman" w:hAnsi="Times New Roman" w:cs="Times New Roman"/>
                <w:sz w:val="20"/>
              </w:rPr>
            </w:pPr>
          </w:p>
        </w:tc>
        <w:tc>
          <w:tcPr>
            <w:tcW w:w="723" w:type="dxa"/>
            <w:vMerge w:val="continue"/>
            <w:tcBorders>
              <w:tl2br w:val="nil"/>
              <w:tr2bl w:val="nil"/>
            </w:tcBorders>
            <w:vAlign w:val="center"/>
          </w:tcPr>
          <w:p w14:paraId="17A1B27D">
            <w:pPr>
              <w:jc w:val="center"/>
              <w:rPr>
                <w:rFonts w:hint="default" w:ascii="Times New Roman" w:hAnsi="Times New Roman" w:cs="Times New Roman"/>
                <w:sz w:val="20"/>
              </w:rPr>
            </w:pPr>
          </w:p>
        </w:tc>
        <w:tc>
          <w:tcPr>
            <w:tcW w:w="759" w:type="dxa"/>
            <w:gridSpan w:val="2"/>
            <w:tcBorders>
              <w:tl2br w:val="nil"/>
              <w:tr2bl w:val="nil"/>
            </w:tcBorders>
            <w:vAlign w:val="center"/>
          </w:tcPr>
          <w:p w14:paraId="7F7109B8">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14:paraId="2CC4C6D5">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项目总成本</w:t>
            </w:r>
          </w:p>
        </w:tc>
        <w:tc>
          <w:tcPr>
            <w:tcW w:w="4228" w:type="dxa"/>
            <w:gridSpan w:val="2"/>
            <w:tcBorders>
              <w:tl2br w:val="nil"/>
              <w:tr2bl w:val="nil"/>
            </w:tcBorders>
            <w:vAlign w:val="center"/>
          </w:tcPr>
          <w:p w14:paraId="0968B84B">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426</w:t>
            </w:r>
            <w:r>
              <w:rPr>
                <w:rFonts w:hint="default" w:ascii="Times New Roman" w:hAnsi="Times New Roman" w:cs="Times New Roman"/>
              </w:rPr>
              <w:t>0000元</w:t>
            </w:r>
          </w:p>
        </w:tc>
      </w:tr>
      <w:tr w14:paraId="4EE1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9AC5E81">
            <w:pPr>
              <w:jc w:val="center"/>
              <w:rPr>
                <w:rFonts w:hint="default" w:ascii="Times New Roman" w:hAnsi="Times New Roman" w:cs="Times New Roman"/>
                <w:sz w:val="20"/>
              </w:rPr>
            </w:pPr>
          </w:p>
        </w:tc>
        <w:tc>
          <w:tcPr>
            <w:tcW w:w="723" w:type="dxa"/>
            <w:vMerge w:val="restart"/>
            <w:tcBorders>
              <w:tl2br w:val="nil"/>
              <w:tr2bl w:val="nil"/>
            </w:tcBorders>
            <w:vAlign w:val="center"/>
          </w:tcPr>
          <w:p w14:paraId="722E2BAF">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14:paraId="613BB5A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14:paraId="68E61223">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对经济发展的影响程度</w:t>
            </w:r>
          </w:p>
        </w:tc>
        <w:tc>
          <w:tcPr>
            <w:tcW w:w="4228" w:type="dxa"/>
            <w:gridSpan w:val="2"/>
            <w:tcBorders>
              <w:tl2br w:val="nil"/>
              <w:tr2bl w:val="nil"/>
            </w:tcBorders>
            <w:vAlign w:val="center"/>
          </w:tcPr>
          <w:p w14:paraId="6607006B">
            <w:pPr>
              <w:jc w:val="center"/>
              <w:rPr>
                <w:rFonts w:hint="default" w:ascii="Times New Roman" w:hAnsi="Times New Roman" w:cs="Times New Roman"/>
              </w:rPr>
            </w:pPr>
            <w:r>
              <w:rPr>
                <w:rFonts w:hint="default" w:ascii="Times New Roman" w:hAnsi="Times New Roman" w:cs="Times New Roman"/>
              </w:rPr>
              <w:t>较好</w:t>
            </w:r>
          </w:p>
        </w:tc>
      </w:tr>
      <w:tr w14:paraId="7A30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874FF03">
            <w:pPr>
              <w:jc w:val="center"/>
              <w:rPr>
                <w:rFonts w:hint="default" w:ascii="Times New Roman" w:hAnsi="Times New Roman" w:cs="Times New Roman"/>
                <w:sz w:val="20"/>
              </w:rPr>
            </w:pPr>
          </w:p>
        </w:tc>
        <w:tc>
          <w:tcPr>
            <w:tcW w:w="723" w:type="dxa"/>
            <w:vMerge w:val="continue"/>
            <w:tcBorders>
              <w:tl2br w:val="nil"/>
              <w:tr2bl w:val="nil"/>
            </w:tcBorders>
            <w:vAlign w:val="center"/>
          </w:tcPr>
          <w:p w14:paraId="30F15188">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45765C96">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14:paraId="399EFFC4">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对单位履职、促进事业发展的影响或提升程度</w:t>
            </w:r>
          </w:p>
        </w:tc>
        <w:tc>
          <w:tcPr>
            <w:tcW w:w="4228" w:type="dxa"/>
            <w:gridSpan w:val="2"/>
            <w:tcBorders>
              <w:tl2br w:val="nil"/>
              <w:tr2bl w:val="nil"/>
            </w:tcBorders>
            <w:vAlign w:val="center"/>
          </w:tcPr>
          <w:p w14:paraId="067DAA76">
            <w:pPr>
              <w:jc w:val="center"/>
              <w:rPr>
                <w:rFonts w:hint="default" w:ascii="Times New Roman" w:hAnsi="Times New Roman" w:cs="Times New Roman"/>
              </w:rPr>
            </w:pPr>
            <w:r>
              <w:rPr>
                <w:rFonts w:hint="default" w:ascii="Times New Roman" w:hAnsi="Times New Roman" w:cs="Times New Roman"/>
              </w:rPr>
              <w:t>较高</w:t>
            </w:r>
          </w:p>
        </w:tc>
      </w:tr>
      <w:tr w14:paraId="18F6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DD4D3D9">
            <w:pPr>
              <w:jc w:val="center"/>
              <w:rPr>
                <w:rFonts w:hint="default" w:ascii="Times New Roman" w:hAnsi="Times New Roman" w:cs="Times New Roman"/>
                <w:sz w:val="20"/>
              </w:rPr>
            </w:pPr>
          </w:p>
        </w:tc>
        <w:tc>
          <w:tcPr>
            <w:tcW w:w="723" w:type="dxa"/>
            <w:vMerge w:val="continue"/>
            <w:tcBorders>
              <w:tl2br w:val="nil"/>
              <w:tr2bl w:val="nil"/>
            </w:tcBorders>
            <w:vAlign w:val="center"/>
          </w:tcPr>
          <w:p w14:paraId="262DE99E">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6C590B22">
            <w:pPr>
              <w:jc w:val="center"/>
              <w:rPr>
                <w:rFonts w:hint="default" w:ascii="Times New Roman" w:hAnsi="Times New Roman" w:cs="Times New Roman"/>
                <w:sz w:val="20"/>
              </w:rPr>
            </w:pPr>
          </w:p>
        </w:tc>
        <w:tc>
          <w:tcPr>
            <w:tcW w:w="2872" w:type="dxa"/>
            <w:tcBorders>
              <w:tl2br w:val="nil"/>
              <w:tr2bl w:val="nil"/>
            </w:tcBorders>
            <w:vAlign w:val="bottom"/>
          </w:tcPr>
          <w:p w14:paraId="0068B60C">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对培训人员综合素质的改善或提升程度</w:t>
            </w:r>
          </w:p>
        </w:tc>
        <w:tc>
          <w:tcPr>
            <w:tcW w:w="4228" w:type="dxa"/>
            <w:gridSpan w:val="2"/>
            <w:tcBorders>
              <w:tl2br w:val="nil"/>
              <w:tr2bl w:val="nil"/>
            </w:tcBorders>
            <w:vAlign w:val="center"/>
          </w:tcPr>
          <w:p w14:paraId="44B00B57">
            <w:pPr>
              <w:jc w:val="center"/>
              <w:rPr>
                <w:rFonts w:hint="default" w:ascii="Times New Roman" w:hAnsi="Times New Roman" w:cs="Times New Roman"/>
              </w:rPr>
            </w:pPr>
            <w:r>
              <w:rPr>
                <w:rFonts w:hint="default" w:ascii="Times New Roman" w:hAnsi="Times New Roman" w:cs="Times New Roman"/>
              </w:rPr>
              <w:t>较高</w:t>
            </w:r>
          </w:p>
        </w:tc>
      </w:tr>
      <w:tr w14:paraId="691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89E0D9">
            <w:pPr>
              <w:jc w:val="center"/>
              <w:rPr>
                <w:rFonts w:hint="default" w:ascii="Times New Roman" w:hAnsi="Times New Roman" w:cs="Times New Roman"/>
                <w:sz w:val="20"/>
              </w:rPr>
            </w:pPr>
          </w:p>
        </w:tc>
        <w:tc>
          <w:tcPr>
            <w:tcW w:w="723" w:type="dxa"/>
            <w:vMerge w:val="continue"/>
            <w:tcBorders>
              <w:tl2br w:val="nil"/>
              <w:tr2bl w:val="nil"/>
            </w:tcBorders>
            <w:vAlign w:val="center"/>
          </w:tcPr>
          <w:p w14:paraId="0D6C2784">
            <w:pPr>
              <w:jc w:val="center"/>
              <w:rPr>
                <w:rFonts w:hint="default" w:ascii="Times New Roman" w:hAnsi="Times New Roman" w:cs="Times New Roman"/>
                <w:sz w:val="20"/>
              </w:rPr>
            </w:pPr>
          </w:p>
        </w:tc>
        <w:tc>
          <w:tcPr>
            <w:tcW w:w="759" w:type="dxa"/>
            <w:gridSpan w:val="2"/>
            <w:tcBorders>
              <w:tl2br w:val="nil"/>
              <w:tr2bl w:val="nil"/>
            </w:tcBorders>
            <w:vAlign w:val="center"/>
          </w:tcPr>
          <w:p w14:paraId="77BBB8B3">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bottom"/>
          </w:tcPr>
          <w:p w14:paraId="37AFB365">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对生态效益的影响程度</w:t>
            </w:r>
          </w:p>
        </w:tc>
        <w:tc>
          <w:tcPr>
            <w:tcW w:w="4228" w:type="dxa"/>
            <w:gridSpan w:val="2"/>
            <w:tcBorders>
              <w:tl2br w:val="nil"/>
              <w:tr2bl w:val="nil"/>
            </w:tcBorders>
            <w:vAlign w:val="center"/>
          </w:tcPr>
          <w:p w14:paraId="53910137">
            <w:pPr>
              <w:jc w:val="center"/>
              <w:rPr>
                <w:rFonts w:hint="default" w:ascii="Times New Roman" w:hAnsi="Times New Roman" w:cs="Times New Roman"/>
              </w:rPr>
            </w:pPr>
            <w:r>
              <w:rPr>
                <w:rFonts w:hint="default" w:ascii="Times New Roman" w:hAnsi="Times New Roman" w:cs="Times New Roman"/>
              </w:rPr>
              <w:t>较高</w:t>
            </w:r>
          </w:p>
        </w:tc>
      </w:tr>
      <w:tr w14:paraId="1F82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6A5B3E9">
            <w:pPr>
              <w:jc w:val="center"/>
              <w:rPr>
                <w:rFonts w:hint="default" w:ascii="Times New Roman" w:hAnsi="Times New Roman" w:cs="Times New Roman"/>
                <w:sz w:val="20"/>
              </w:rPr>
            </w:pPr>
          </w:p>
        </w:tc>
        <w:tc>
          <w:tcPr>
            <w:tcW w:w="723" w:type="dxa"/>
            <w:vMerge w:val="continue"/>
            <w:tcBorders>
              <w:tl2br w:val="nil"/>
              <w:tr2bl w:val="nil"/>
            </w:tcBorders>
            <w:vAlign w:val="center"/>
          </w:tcPr>
          <w:p w14:paraId="53A0A35E">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14:paraId="25085684">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bottom"/>
          </w:tcPr>
          <w:p w14:paraId="137EE8D0">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培训工作为经济和社会发展提供长期人才储备程度</w:t>
            </w:r>
          </w:p>
        </w:tc>
        <w:tc>
          <w:tcPr>
            <w:tcW w:w="4228" w:type="dxa"/>
            <w:gridSpan w:val="2"/>
            <w:tcBorders>
              <w:tl2br w:val="nil"/>
              <w:tr2bl w:val="nil"/>
            </w:tcBorders>
            <w:vAlign w:val="center"/>
          </w:tcPr>
          <w:p w14:paraId="150BAD8E">
            <w:pPr>
              <w:jc w:val="center"/>
              <w:rPr>
                <w:rFonts w:hint="default" w:ascii="Times New Roman" w:hAnsi="Times New Roman" w:cs="Times New Roman"/>
              </w:rPr>
            </w:pPr>
            <w:r>
              <w:rPr>
                <w:rFonts w:hint="default" w:ascii="Times New Roman" w:hAnsi="Times New Roman" w:cs="Times New Roman"/>
              </w:rPr>
              <w:t>较高</w:t>
            </w:r>
          </w:p>
        </w:tc>
      </w:tr>
      <w:tr w14:paraId="533E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08C3896F">
            <w:pPr>
              <w:jc w:val="center"/>
              <w:rPr>
                <w:rFonts w:hint="default" w:ascii="Times New Roman" w:hAnsi="Times New Roman" w:cs="Times New Roman"/>
                <w:sz w:val="20"/>
              </w:rPr>
            </w:pPr>
          </w:p>
        </w:tc>
        <w:tc>
          <w:tcPr>
            <w:tcW w:w="723" w:type="dxa"/>
            <w:vMerge w:val="continue"/>
            <w:tcBorders>
              <w:tl2br w:val="nil"/>
              <w:tr2bl w:val="nil"/>
            </w:tcBorders>
            <w:vAlign w:val="center"/>
          </w:tcPr>
          <w:p w14:paraId="5D123D0C">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14:paraId="4AA4304D">
            <w:pPr>
              <w:jc w:val="center"/>
              <w:rPr>
                <w:rFonts w:hint="default" w:ascii="Times New Roman" w:hAnsi="Times New Roman" w:cs="Times New Roman"/>
                <w:sz w:val="20"/>
              </w:rPr>
            </w:pPr>
          </w:p>
        </w:tc>
        <w:tc>
          <w:tcPr>
            <w:tcW w:w="2872" w:type="dxa"/>
            <w:tcBorders>
              <w:tl2br w:val="nil"/>
              <w:tr2bl w:val="nil"/>
            </w:tcBorders>
            <w:vAlign w:val="bottom"/>
          </w:tcPr>
          <w:p w14:paraId="46E9DEA1">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对单位履职、促进事业发展的持续影响程度</w:t>
            </w:r>
          </w:p>
        </w:tc>
        <w:tc>
          <w:tcPr>
            <w:tcW w:w="4228" w:type="dxa"/>
            <w:gridSpan w:val="2"/>
            <w:tcBorders>
              <w:tl2br w:val="nil"/>
              <w:tr2bl w:val="nil"/>
            </w:tcBorders>
            <w:vAlign w:val="center"/>
          </w:tcPr>
          <w:p w14:paraId="7D8F2148">
            <w:pPr>
              <w:jc w:val="center"/>
              <w:rPr>
                <w:rFonts w:hint="default" w:ascii="Times New Roman" w:hAnsi="Times New Roman" w:cs="Times New Roman"/>
              </w:rPr>
            </w:pPr>
            <w:r>
              <w:rPr>
                <w:rFonts w:hint="default" w:ascii="Times New Roman" w:hAnsi="Times New Roman" w:cs="Times New Roman"/>
              </w:rPr>
              <w:t>较高</w:t>
            </w:r>
          </w:p>
        </w:tc>
      </w:tr>
      <w:tr w14:paraId="76BB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CA888E">
            <w:pPr>
              <w:jc w:val="center"/>
              <w:rPr>
                <w:rFonts w:hint="default" w:ascii="Times New Roman" w:hAnsi="Times New Roman" w:cs="Times New Roman"/>
                <w:sz w:val="20"/>
              </w:rPr>
            </w:pPr>
          </w:p>
        </w:tc>
        <w:tc>
          <w:tcPr>
            <w:tcW w:w="723" w:type="dxa"/>
            <w:tcBorders>
              <w:tl2br w:val="nil"/>
              <w:tr2bl w:val="nil"/>
            </w:tcBorders>
            <w:vAlign w:val="center"/>
          </w:tcPr>
          <w:p w14:paraId="7B8DC716">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14:paraId="367FB0C2">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14:paraId="701E2CC5">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受训学员满意度</w:t>
            </w:r>
          </w:p>
        </w:tc>
        <w:tc>
          <w:tcPr>
            <w:tcW w:w="4228" w:type="dxa"/>
            <w:gridSpan w:val="2"/>
            <w:tcBorders>
              <w:tl2br w:val="nil"/>
              <w:tr2bl w:val="nil"/>
            </w:tcBorders>
            <w:vAlign w:val="center"/>
          </w:tcPr>
          <w:p w14:paraId="2FECDC46">
            <w:pPr>
              <w:jc w:val="center"/>
              <w:rPr>
                <w:rFonts w:hint="default" w:ascii="Times New Roman" w:hAnsi="Times New Roman" w:cs="Times New Roman"/>
              </w:rPr>
            </w:pPr>
            <w:r>
              <w:rPr>
                <w:rFonts w:hint="default" w:ascii="Times New Roman" w:hAnsi="Times New Roman" w:cs="Times New Roman"/>
              </w:rPr>
              <w:t>≥90%</w:t>
            </w:r>
          </w:p>
        </w:tc>
      </w:tr>
      <w:bookmarkEnd w:id="0"/>
    </w:tbl>
    <w:p w14:paraId="730EB20F">
      <w:pPr>
        <w:rPr>
          <w:rFonts w:hint="default" w:ascii="Times New Roman" w:hAnsi="Times New Roman" w:cs="Times New Roman"/>
        </w:rPr>
      </w:pPr>
    </w:p>
    <w:p w14:paraId="697B36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2、“二期工程室内设施采购”项目。</w:t>
      </w:r>
    </w:p>
    <w:p w14:paraId="1B6C95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（1）项目概述。购买二期工程所需会议桌椅、家具、信息化设备等。</w:t>
      </w:r>
    </w:p>
    <w:p w14:paraId="67B92B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（2）立项依据。依据党校二期工程项目批复。</w:t>
      </w:r>
    </w:p>
    <w:p w14:paraId="02BA71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（3）实施主体。中共淮北市委党校</w:t>
      </w:r>
    </w:p>
    <w:p w14:paraId="736E48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（4）起止时间。</w:t>
      </w:r>
      <w:r>
        <w:rPr>
          <w:rFonts w:hint="eastAsia" w:ascii="Times New Roman" w:hAnsi="Times New Roman" w:eastAsia="仿宋_GB2312" w:cs="Times New Roman"/>
          <w:sz w:val="32"/>
          <w:szCs w:val="32"/>
          <w:lang w:eastAsia="zh-CN"/>
        </w:rPr>
        <w:t>2024年</w:t>
      </w:r>
    </w:p>
    <w:p w14:paraId="1BD2AE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（5）项目内容。购买二期工程所需会议桌椅、家具、信息化设备等。</w:t>
      </w:r>
    </w:p>
    <w:p w14:paraId="2CE555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（6）年度预算安排。</w:t>
      </w:r>
      <w:r>
        <w:rPr>
          <w:rFonts w:hint="eastAsia" w:ascii="Times New Roman" w:hAnsi="Times New Roman" w:eastAsia="仿宋_GB2312" w:cs="Times New Roman"/>
          <w:sz w:val="32"/>
          <w:szCs w:val="32"/>
          <w:lang w:val="en-US" w:eastAsia="zh-CN"/>
        </w:rPr>
        <w:t>170</w:t>
      </w:r>
      <w:r>
        <w:rPr>
          <w:rFonts w:hint="default" w:ascii="Times New Roman" w:hAnsi="Times New Roman" w:eastAsia="仿宋_GB2312" w:cs="Times New Roman"/>
          <w:sz w:val="32"/>
          <w:szCs w:val="32"/>
        </w:rPr>
        <w:t>万元。</w:t>
      </w:r>
    </w:p>
    <w:p w14:paraId="3846DF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93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D626F74">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14:paraId="040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9C60E89">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2024年</w:t>
            </w:r>
            <w:r>
              <w:rPr>
                <w:rFonts w:hint="default" w:ascii="Times New Roman" w:hAnsi="Times New Roman" w:cs="Times New Roman"/>
                <w:color w:val="000000"/>
                <w:kern w:val="0"/>
                <w:sz w:val="20"/>
                <w:szCs w:val="20"/>
              </w:rPr>
              <w:t xml:space="preserve">度）                                </w:t>
            </w:r>
          </w:p>
        </w:tc>
      </w:tr>
      <w:tr w14:paraId="3CBA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3BED410">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14:paraId="582EDFBD">
            <w:pPr>
              <w:jc w:val="center"/>
              <w:rPr>
                <w:rFonts w:hint="default" w:ascii="Times New Roman" w:hAnsi="Times New Roman" w:cs="Times New Roman"/>
                <w:sz w:val="20"/>
              </w:rPr>
            </w:pPr>
            <w:r>
              <w:rPr>
                <w:rFonts w:hint="default" w:ascii="Times New Roman" w:hAnsi="Times New Roman" w:cs="Times New Roman"/>
                <w:sz w:val="20"/>
              </w:rPr>
              <w:t>二期工程室内设施采购</w:t>
            </w:r>
          </w:p>
        </w:tc>
      </w:tr>
      <w:tr w14:paraId="1867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772B9B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14:paraId="0F4552E4">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14:paraId="30FC7E25">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14:paraId="09F57F0F">
            <w:pPr>
              <w:jc w:val="center"/>
              <w:rPr>
                <w:rFonts w:hint="default" w:ascii="Times New Roman" w:hAnsi="Times New Roman" w:cs="Times New Roman"/>
              </w:rPr>
            </w:pPr>
            <w:r>
              <w:rPr>
                <w:rFonts w:hint="default" w:ascii="Times New Roman" w:hAnsi="Times New Roman" w:cs="Times New Roman"/>
              </w:rPr>
              <w:t>中共淮北市委党校</w:t>
            </w:r>
          </w:p>
        </w:tc>
      </w:tr>
      <w:tr w14:paraId="7E6D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BAA0D27">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14:paraId="06C1D9C1">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14:paraId="4F7A68F1">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14:paraId="39092CC3">
            <w:pPr>
              <w:jc w:val="center"/>
              <w:rPr>
                <w:rFonts w:hint="eastAsia" w:ascii="Times New Roman" w:hAnsi="Times New Roman" w:eastAsia="宋体" w:cs="Times New Roman"/>
                <w:lang w:eastAsia="zh-CN"/>
              </w:rPr>
            </w:pPr>
            <w:r>
              <w:rPr>
                <w:rFonts w:hint="eastAsia" w:ascii="Times New Roman" w:hAnsi="Times New Roman" w:cs="Times New Roman"/>
                <w:lang w:eastAsia="zh-CN"/>
              </w:rPr>
              <w:t>2024年</w:t>
            </w:r>
          </w:p>
        </w:tc>
      </w:tr>
      <w:tr w14:paraId="183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8637976">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14:paraId="487DA4B6">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14:paraId="0AF863F8">
            <w:pPr>
              <w:jc w:val="center"/>
              <w:rPr>
                <w:rFonts w:hint="default" w:ascii="Times New Roman" w:hAnsi="Times New Roman" w:cs="Times New Roman"/>
                <w:sz w:val="20"/>
              </w:rPr>
            </w:pPr>
            <w:r>
              <w:rPr>
                <w:rFonts w:hint="eastAsia" w:ascii="Times New Roman" w:hAnsi="Times New Roman" w:cs="Times New Roman"/>
                <w:sz w:val="20"/>
                <w:lang w:val="en-US" w:eastAsia="zh-CN"/>
              </w:rPr>
              <w:t>1</w:t>
            </w:r>
            <w:r>
              <w:rPr>
                <w:rFonts w:hint="default" w:ascii="Times New Roman" w:hAnsi="Times New Roman" w:cs="Times New Roman"/>
                <w:sz w:val="20"/>
              </w:rPr>
              <w:t>70</w:t>
            </w:r>
          </w:p>
        </w:tc>
      </w:tr>
      <w:tr w14:paraId="473F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43" w:type="dxa"/>
            <w:gridSpan w:val="3"/>
            <w:vMerge w:val="continue"/>
            <w:tcBorders>
              <w:tl2br w:val="nil"/>
              <w:tr2bl w:val="nil"/>
            </w:tcBorders>
            <w:vAlign w:val="center"/>
          </w:tcPr>
          <w:p w14:paraId="21D854FF">
            <w:pPr>
              <w:jc w:val="center"/>
              <w:rPr>
                <w:rFonts w:hint="default" w:ascii="Times New Roman" w:hAnsi="Times New Roman" w:cs="Times New Roman"/>
                <w:sz w:val="20"/>
              </w:rPr>
            </w:pPr>
          </w:p>
        </w:tc>
        <w:tc>
          <w:tcPr>
            <w:tcW w:w="3349" w:type="dxa"/>
            <w:gridSpan w:val="2"/>
            <w:tcBorders>
              <w:tl2br w:val="nil"/>
              <w:tr2bl w:val="nil"/>
            </w:tcBorders>
            <w:vAlign w:val="center"/>
          </w:tcPr>
          <w:p w14:paraId="036AB30D">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14:paraId="318C728E">
            <w:pPr>
              <w:jc w:val="center"/>
              <w:rPr>
                <w:rFonts w:hint="default" w:ascii="Times New Roman" w:hAnsi="Times New Roman" w:eastAsia="宋体" w:cs="Times New Roman"/>
                <w:sz w:val="20"/>
                <w:lang w:val="en-US" w:eastAsia="zh-CN"/>
              </w:rPr>
            </w:pPr>
            <w:r>
              <w:rPr>
                <w:rFonts w:hint="eastAsia" w:ascii="Times New Roman" w:hAnsi="Times New Roman" w:cs="Times New Roman"/>
                <w:sz w:val="20"/>
                <w:lang w:val="en-US" w:eastAsia="zh-CN"/>
              </w:rPr>
              <w:t>170</w:t>
            </w:r>
          </w:p>
        </w:tc>
      </w:tr>
      <w:tr w14:paraId="335A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A3B7E25">
            <w:pPr>
              <w:jc w:val="center"/>
              <w:rPr>
                <w:rFonts w:hint="default" w:ascii="Times New Roman" w:hAnsi="Times New Roman" w:cs="Times New Roman"/>
                <w:sz w:val="20"/>
              </w:rPr>
            </w:pPr>
          </w:p>
        </w:tc>
        <w:tc>
          <w:tcPr>
            <w:tcW w:w="3349" w:type="dxa"/>
            <w:gridSpan w:val="2"/>
            <w:tcBorders>
              <w:tl2br w:val="nil"/>
              <w:tr2bl w:val="nil"/>
            </w:tcBorders>
            <w:vAlign w:val="center"/>
          </w:tcPr>
          <w:p w14:paraId="1C41CE6B">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14:paraId="78E31209">
            <w:pPr>
              <w:jc w:val="center"/>
              <w:rPr>
                <w:rFonts w:hint="default" w:ascii="Times New Roman" w:hAnsi="Times New Roman" w:cs="Times New Roman"/>
                <w:sz w:val="20"/>
              </w:rPr>
            </w:pPr>
            <w:r>
              <w:rPr>
                <w:rFonts w:hint="default" w:ascii="Times New Roman" w:hAnsi="Times New Roman" w:cs="Times New Roman"/>
                <w:sz w:val="20"/>
              </w:rPr>
              <w:t>0</w:t>
            </w:r>
          </w:p>
        </w:tc>
      </w:tr>
      <w:tr w14:paraId="14A5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FCB1C6A">
            <w:pPr>
              <w:jc w:val="center"/>
              <w:rPr>
                <w:rFonts w:hint="default" w:ascii="Times New Roman" w:hAnsi="Times New Roman" w:cs="Times New Roman"/>
                <w:sz w:val="20"/>
              </w:rPr>
            </w:pPr>
          </w:p>
        </w:tc>
        <w:tc>
          <w:tcPr>
            <w:tcW w:w="3349" w:type="dxa"/>
            <w:gridSpan w:val="2"/>
            <w:tcBorders>
              <w:tl2br w:val="nil"/>
              <w:tr2bl w:val="nil"/>
            </w:tcBorders>
            <w:vAlign w:val="center"/>
          </w:tcPr>
          <w:p w14:paraId="0F0FEE1D">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14:paraId="1A309FE8">
            <w:pPr>
              <w:jc w:val="center"/>
              <w:rPr>
                <w:rFonts w:hint="eastAsia" w:ascii="Times New Roman" w:hAnsi="Times New Roman" w:eastAsia="宋体" w:cs="Times New Roman"/>
                <w:sz w:val="20"/>
                <w:lang w:eastAsia="zh-CN"/>
              </w:rPr>
            </w:pPr>
            <w:r>
              <w:rPr>
                <w:rFonts w:hint="eastAsia" w:ascii="Times New Roman" w:hAnsi="Times New Roman" w:cs="Times New Roman"/>
                <w:sz w:val="20"/>
                <w:lang w:val="en-US" w:eastAsia="zh-CN"/>
              </w:rPr>
              <w:t>0</w:t>
            </w:r>
          </w:p>
        </w:tc>
      </w:tr>
      <w:tr w14:paraId="090D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11E71A5">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14:paraId="19CED014">
            <w:pPr>
              <w:rPr>
                <w:rFonts w:hint="default" w:ascii="Times New Roman" w:hAnsi="Times New Roman" w:cs="Times New Roman"/>
                <w:sz w:val="20"/>
                <w:szCs w:val="20"/>
              </w:rPr>
            </w:pPr>
            <w:r>
              <w:rPr>
                <w:rFonts w:hint="default" w:ascii="Times New Roman" w:hAnsi="Times New Roman" w:cs="Times New Roman"/>
                <w:sz w:val="20"/>
                <w:szCs w:val="20"/>
              </w:rPr>
              <w:t>目标1：完成二期学员公寓、教学楼信息化建设。</w:t>
            </w:r>
          </w:p>
          <w:p w14:paraId="7112A816">
            <w:pPr>
              <w:rPr>
                <w:rFonts w:hint="default" w:ascii="Times New Roman" w:hAnsi="Times New Roman" w:cs="Times New Roman"/>
                <w:sz w:val="20"/>
                <w:szCs w:val="20"/>
              </w:rPr>
            </w:pPr>
            <w:r>
              <w:rPr>
                <w:rFonts w:hint="default" w:ascii="Times New Roman" w:hAnsi="Times New Roman" w:cs="Times New Roman"/>
                <w:sz w:val="20"/>
                <w:szCs w:val="20"/>
              </w:rPr>
              <w:t>目标2：完成学员公寓、教学楼家具招标</w:t>
            </w:r>
          </w:p>
        </w:tc>
      </w:tr>
      <w:tr w14:paraId="35D7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420DE68">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14:paraId="41A44074">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14:paraId="7AAD1819">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14:paraId="22B665D6">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14:paraId="20FAF2A9">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14:paraId="46CA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51B2B6">
            <w:pPr>
              <w:jc w:val="center"/>
              <w:rPr>
                <w:rFonts w:hint="default" w:ascii="Times New Roman" w:hAnsi="Times New Roman" w:cs="Times New Roman"/>
                <w:sz w:val="20"/>
              </w:rPr>
            </w:pPr>
          </w:p>
        </w:tc>
        <w:tc>
          <w:tcPr>
            <w:tcW w:w="723" w:type="dxa"/>
            <w:vMerge w:val="restart"/>
            <w:tcBorders>
              <w:tl2br w:val="nil"/>
              <w:tr2bl w:val="nil"/>
            </w:tcBorders>
            <w:vAlign w:val="center"/>
          </w:tcPr>
          <w:p w14:paraId="3806E0C3">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tcBorders>
              <w:tl2br w:val="nil"/>
              <w:tr2bl w:val="nil"/>
            </w:tcBorders>
            <w:vAlign w:val="center"/>
          </w:tcPr>
          <w:p w14:paraId="0CB7EFF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14:paraId="0218A889">
            <w:pPr>
              <w:jc w:val="both"/>
              <w:rPr>
                <w:rFonts w:hint="default" w:ascii="Times New Roman" w:hAnsi="Times New Roman" w:cs="Times New Roman"/>
              </w:rPr>
            </w:pPr>
            <w:r>
              <w:rPr>
                <w:rFonts w:hint="default" w:ascii="Times New Roman" w:hAnsi="Times New Roman" w:cs="Times New Roman"/>
              </w:rPr>
              <w:t>采购数量情况</w:t>
            </w:r>
          </w:p>
        </w:tc>
        <w:tc>
          <w:tcPr>
            <w:tcW w:w="4228" w:type="dxa"/>
            <w:gridSpan w:val="2"/>
            <w:tcBorders>
              <w:tl2br w:val="nil"/>
              <w:tr2bl w:val="nil"/>
            </w:tcBorders>
            <w:vAlign w:val="center"/>
          </w:tcPr>
          <w:p w14:paraId="7AF00113">
            <w:pPr>
              <w:jc w:val="center"/>
              <w:rPr>
                <w:rFonts w:hint="default" w:ascii="Times New Roman" w:hAnsi="Times New Roman" w:cs="Times New Roman"/>
              </w:rPr>
            </w:pPr>
            <w:r>
              <w:rPr>
                <w:rFonts w:hint="default" w:ascii="Times New Roman" w:hAnsi="Times New Roman" w:cs="Times New Roman"/>
              </w:rPr>
              <w:t>≥94套</w:t>
            </w:r>
          </w:p>
        </w:tc>
      </w:tr>
      <w:tr w14:paraId="0B62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B5A854">
            <w:pPr>
              <w:jc w:val="center"/>
              <w:rPr>
                <w:rFonts w:hint="default" w:ascii="Times New Roman" w:hAnsi="Times New Roman" w:cs="Times New Roman"/>
                <w:sz w:val="20"/>
              </w:rPr>
            </w:pPr>
          </w:p>
        </w:tc>
        <w:tc>
          <w:tcPr>
            <w:tcW w:w="723" w:type="dxa"/>
            <w:vMerge w:val="continue"/>
            <w:tcBorders>
              <w:tl2br w:val="nil"/>
              <w:tr2bl w:val="nil"/>
            </w:tcBorders>
            <w:vAlign w:val="center"/>
          </w:tcPr>
          <w:p w14:paraId="448FC0FD">
            <w:pPr>
              <w:jc w:val="center"/>
              <w:rPr>
                <w:rFonts w:hint="default" w:ascii="Times New Roman" w:hAnsi="Times New Roman" w:cs="Times New Roman"/>
                <w:sz w:val="20"/>
              </w:rPr>
            </w:pPr>
          </w:p>
        </w:tc>
        <w:tc>
          <w:tcPr>
            <w:tcW w:w="759" w:type="dxa"/>
            <w:gridSpan w:val="2"/>
            <w:tcBorders>
              <w:tl2br w:val="nil"/>
              <w:tr2bl w:val="nil"/>
            </w:tcBorders>
            <w:vAlign w:val="center"/>
          </w:tcPr>
          <w:p w14:paraId="7F2EA265">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center"/>
          </w:tcPr>
          <w:p w14:paraId="30BA0D72">
            <w:pPr>
              <w:jc w:val="both"/>
              <w:rPr>
                <w:rFonts w:hint="default" w:ascii="Times New Roman" w:hAnsi="Times New Roman" w:cs="Times New Roman"/>
              </w:rPr>
            </w:pPr>
            <w:r>
              <w:rPr>
                <w:rFonts w:hint="default" w:ascii="Times New Roman" w:hAnsi="Times New Roman" w:cs="Times New Roman"/>
              </w:rPr>
              <w:t>经费支出合规性</w:t>
            </w:r>
          </w:p>
        </w:tc>
        <w:tc>
          <w:tcPr>
            <w:tcW w:w="4228" w:type="dxa"/>
            <w:gridSpan w:val="2"/>
            <w:tcBorders>
              <w:tl2br w:val="nil"/>
              <w:tr2bl w:val="nil"/>
            </w:tcBorders>
            <w:vAlign w:val="center"/>
          </w:tcPr>
          <w:p w14:paraId="7C64269F">
            <w:pPr>
              <w:jc w:val="center"/>
              <w:rPr>
                <w:rFonts w:hint="default" w:ascii="Times New Roman" w:hAnsi="Times New Roman" w:cs="Times New Roman"/>
              </w:rPr>
            </w:pPr>
            <w:r>
              <w:rPr>
                <w:rFonts w:hint="default" w:ascii="Times New Roman" w:hAnsi="Times New Roman" w:cs="Times New Roman"/>
              </w:rPr>
              <w:t>合规</w:t>
            </w:r>
          </w:p>
        </w:tc>
      </w:tr>
      <w:tr w14:paraId="42C3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6D47A6E">
            <w:pPr>
              <w:jc w:val="center"/>
              <w:rPr>
                <w:rFonts w:hint="default" w:ascii="Times New Roman" w:hAnsi="Times New Roman" w:cs="Times New Roman"/>
                <w:sz w:val="20"/>
              </w:rPr>
            </w:pPr>
          </w:p>
        </w:tc>
        <w:tc>
          <w:tcPr>
            <w:tcW w:w="723" w:type="dxa"/>
            <w:vMerge w:val="continue"/>
            <w:tcBorders>
              <w:tl2br w:val="nil"/>
              <w:tr2bl w:val="nil"/>
            </w:tcBorders>
            <w:vAlign w:val="center"/>
          </w:tcPr>
          <w:p w14:paraId="5CAF72C2">
            <w:pPr>
              <w:jc w:val="center"/>
              <w:rPr>
                <w:rFonts w:hint="default" w:ascii="Times New Roman" w:hAnsi="Times New Roman" w:cs="Times New Roman"/>
                <w:sz w:val="20"/>
              </w:rPr>
            </w:pPr>
          </w:p>
        </w:tc>
        <w:tc>
          <w:tcPr>
            <w:tcW w:w="759" w:type="dxa"/>
            <w:gridSpan w:val="2"/>
            <w:tcBorders>
              <w:tl2br w:val="nil"/>
              <w:tr2bl w:val="nil"/>
            </w:tcBorders>
            <w:vAlign w:val="center"/>
          </w:tcPr>
          <w:p w14:paraId="74BC1FFB">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center"/>
          </w:tcPr>
          <w:p w14:paraId="2E6DFF04">
            <w:pPr>
              <w:jc w:val="both"/>
              <w:rPr>
                <w:rFonts w:hint="default" w:ascii="Times New Roman" w:hAnsi="Times New Roman" w:cs="Times New Roman"/>
              </w:rPr>
            </w:pPr>
            <w:r>
              <w:rPr>
                <w:rFonts w:hint="default" w:ascii="Times New Roman" w:hAnsi="Times New Roman" w:cs="Times New Roman"/>
              </w:rPr>
              <w:t>采购计划完成时间</w:t>
            </w:r>
          </w:p>
        </w:tc>
        <w:tc>
          <w:tcPr>
            <w:tcW w:w="4228" w:type="dxa"/>
            <w:gridSpan w:val="2"/>
            <w:tcBorders>
              <w:tl2br w:val="nil"/>
              <w:tr2bl w:val="nil"/>
            </w:tcBorders>
            <w:vAlign w:val="center"/>
          </w:tcPr>
          <w:p w14:paraId="485A8DD6">
            <w:pPr>
              <w:jc w:val="center"/>
              <w:rPr>
                <w:rFonts w:hint="default" w:ascii="Times New Roman" w:hAnsi="Times New Roman" w:cs="Times New Roman"/>
              </w:rPr>
            </w:pPr>
            <w:r>
              <w:rPr>
                <w:rFonts w:hint="default" w:ascii="Times New Roman" w:hAnsi="Times New Roman" w:cs="Times New Roman"/>
              </w:rPr>
              <w:t>12月底</w:t>
            </w:r>
          </w:p>
        </w:tc>
      </w:tr>
      <w:tr w14:paraId="68AD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25489A">
            <w:pPr>
              <w:jc w:val="center"/>
              <w:rPr>
                <w:rFonts w:hint="default" w:ascii="Times New Roman" w:hAnsi="Times New Roman" w:cs="Times New Roman"/>
                <w:sz w:val="20"/>
              </w:rPr>
            </w:pPr>
          </w:p>
        </w:tc>
        <w:tc>
          <w:tcPr>
            <w:tcW w:w="723" w:type="dxa"/>
            <w:vMerge w:val="continue"/>
            <w:tcBorders>
              <w:tl2br w:val="nil"/>
              <w:tr2bl w:val="nil"/>
            </w:tcBorders>
            <w:vAlign w:val="center"/>
          </w:tcPr>
          <w:p w14:paraId="088AF928">
            <w:pPr>
              <w:jc w:val="center"/>
              <w:rPr>
                <w:rFonts w:hint="default" w:ascii="Times New Roman" w:hAnsi="Times New Roman" w:cs="Times New Roman"/>
                <w:sz w:val="20"/>
              </w:rPr>
            </w:pPr>
          </w:p>
        </w:tc>
        <w:tc>
          <w:tcPr>
            <w:tcW w:w="759" w:type="dxa"/>
            <w:gridSpan w:val="2"/>
            <w:tcBorders>
              <w:tl2br w:val="nil"/>
              <w:tr2bl w:val="nil"/>
            </w:tcBorders>
            <w:vAlign w:val="center"/>
          </w:tcPr>
          <w:p w14:paraId="2DD70179">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14:paraId="3151BFD7">
            <w:pPr>
              <w:jc w:val="both"/>
              <w:rPr>
                <w:rFonts w:hint="default" w:ascii="Times New Roman" w:hAnsi="Times New Roman" w:cs="Times New Roman"/>
              </w:rPr>
            </w:pPr>
            <w:r>
              <w:rPr>
                <w:rFonts w:hint="default" w:ascii="Times New Roman" w:hAnsi="Times New Roman" w:cs="Times New Roman"/>
              </w:rPr>
              <w:t>项目总成本</w:t>
            </w:r>
          </w:p>
        </w:tc>
        <w:tc>
          <w:tcPr>
            <w:tcW w:w="4228" w:type="dxa"/>
            <w:gridSpan w:val="2"/>
            <w:tcBorders>
              <w:tl2br w:val="nil"/>
              <w:tr2bl w:val="nil"/>
            </w:tcBorders>
            <w:vAlign w:val="center"/>
          </w:tcPr>
          <w:p w14:paraId="3BF812FB">
            <w:pPr>
              <w:jc w:val="center"/>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700000元</w:t>
            </w:r>
          </w:p>
        </w:tc>
      </w:tr>
      <w:tr w14:paraId="2582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1DF62E">
            <w:pPr>
              <w:jc w:val="center"/>
              <w:rPr>
                <w:rFonts w:hint="default" w:ascii="Times New Roman" w:hAnsi="Times New Roman" w:cs="Times New Roman"/>
                <w:sz w:val="20"/>
              </w:rPr>
            </w:pPr>
          </w:p>
        </w:tc>
        <w:tc>
          <w:tcPr>
            <w:tcW w:w="723" w:type="dxa"/>
            <w:vMerge w:val="restart"/>
            <w:tcBorders>
              <w:tl2br w:val="nil"/>
              <w:tr2bl w:val="nil"/>
            </w:tcBorders>
            <w:vAlign w:val="center"/>
          </w:tcPr>
          <w:p w14:paraId="140B5DAF">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14:paraId="36851C0A">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14:paraId="3DB4B61A">
            <w:pPr>
              <w:jc w:val="both"/>
              <w:rPr>
                <w:rFonts w:hint="default" w:ascii="Times New Roman" w:hAnsi="Times New Roman" w:cs="Times New Roman"/>
              </w:rPr>
            </w:pPr>
            <w:r>
              <w:rPr>
                <w:rFonts w:hint="default" w:ascii="Times New Roman" w:hAnsi="Times New Roman" w:cs="Times New Roman"/>
              </w:rPr>
              <w:t>对经济发展的影响程度</w:t>
            </w:r>
          </w:p>
        </w:tc>
        <w:tc>
          <w:tcPr>
            <w:tcW w:w="4228" w:type="dxa"/>
            <w:gridSpan w:val="2"/>
            <w:tcBorders>
              <w:tl2br w:val="nil"/>
              <w:tr2bl w:val="nil"/>
            </w:tcBorders>
            <w:vAlign w:val="center"/>
          </w:tcPr>
          <w:p w14:paraId="29E8F90B">
            <w:pPr>
              <w:jc w:val="center"/>
              <w:rPr>
                <w:rFonts w:hint="default" w:ascii="Times New Roman" w:hAnsi="Times New Roman" w:cs="Times New Roman"/>
              </w:rPr>
            </w:pPr>
            <w:r>
              <w:rPr>
                <w:rFonts w:hint="default" w:ascii="Times New Roman" w:hAnsi="Times New Roman" w:cs="Times New Roman"/>
              </w:rPr>
              <w:t>较好</w:t>
            </w:r>
          </w:p>
        </w:tc>
      </w:tr>
      <w:tr w14:paraId="53C9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D4C945A">
            <w:pPr>
              <w:jc w:val="center"/>
              <w:rPr>
                <w:rFonts w:hint="default" w:ascii="Times New Roman" w:hAnsi="Times New Roman" w:cs="Times New Roman"/>
                <w:sz w:val="20"/>
              </w:rPr>
            </w:pPr>
          </w:p>
        </w:tc>
        <w:tc>
          <w:tcPr>
            <w:tcW w:w="723" w:type="dxa"/>
            <w:vMerge w:val="continue"/>
            <w:tcBorders>
              <w:tl2br w:val="nil"/>
              <w:tr2bl w:val="nil"/>
            </w:tcBorders>
            <w:vAlign w:val="center"/>
          </w:tcPr>
          <w:p w14:paraId="2A743824">
            <w:pPr>
              <w:jc w:val="center"/>
              <w:rPr>
                <w:rFonts w:hint="default" w:ascii="Times New Roman" w:hAnsi="Times New Roman" w:cs="Times New Roman"/>
                <w:sz w:val="20"/>
              </w:rPr>
            </w:pPr>
          </w:p>
        </w:tc>
        <w:tc>
          <w:tcPr>
            <w:tcW w:w="759" w:type="dxa"/>
            <w:gridSpan w:val="2"/>
            <w:tcBorders>
              <w:tl2br w:val="nil"/>
              <w:tr2bl w:val="nil"/>
            </w:tcBorders>
            <w:vAlign w:val="center"/>
          </w:tcPr>
          <w:p w14:paraId="1E41CD0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14:paraId="07564EAC">
            <w:pPr>
              <w:jc w:val="both"/>
              <w:rPr>
                <w:rFonts w:hint="default" w:ascii="Times New Roman" w:hAnsi="Times New Roman" w:cs="Times New Roman"/>
              </w:rPr>
            </w:pPr>
            <w:r>
              <w:rPr>
                <w:rFonts w:hint="default" w:ascii="Times New Roman" w:hAnsi="Times New Roman" w:cs="Times New Roman"/>
              </w:rPr>
              <w:t>对单位履职、促进事业发展的影响程度</w:t>
            </w:r>
          </w:p>
        </w:tc>
        <w:tc>
          <w:tcPr>
            <w:tcW w:w="4228" w:type="dxa"/>
            <w:gridSpan w:val="2"/>
            <w:tcBorders>
              <w:tl2br w:val="nil"/>
              <w:tr2bl w:val="nil"/>
            </w:tcBorders>
            <w:vAlign w:val="center"/>
          </w:tcPr>
          <w:p w14:paraId="607724D5">
            <w:pPr>
              <w:jc w:val="center"/>
              <w:rPr>
                <w:rFonts w:hint="default" w:ascii="Times New Roman" w:hAnsi="Times New Roman" w:cs="Times New Roman"/>
              </w:rPr>
            </w:pPr>
            <w:r>
              <w:rPr>
                <w:rFonts w:hint="default" w:ascii="Times New Roman" w:hAnsi="Times New Roman" w:cs="Times New Roman"/>
              </w:rPr>
              <w:t>较高</w:t>
            </w:r>
          </w:p>
        </w:tc>
      </w:tr>
      <w:tr w14:paraId="5AE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E071529">
            <w:pPr>
              <w:jc w:val="center"/>
              <w:rPr>
                <w:rFonts w:hint="default" w:ascii="Times New Roman" w:hAnsi="Times New Roman" w:cs="Times New Roman"/>
                <w:sz w:val="20"/>
              </w:rPr>
            </w:pPr>
          </w:p>
        </w:tc>
        <w:tc>
          <w:tcPr>
            <w:tcW w:w="723" w:type="dxa"/>
            <w:vMerge w:val="continue"/>
            <w:tcBorders>
              <w:tl2br w:val="nil"/>
              <w:tr2bl w:val="nil"/>
            </w:tcBorders>
            <w:vAlign w:val="center"/>
          </w:tcPr>
          <w:p w14:paraId="5AD012E7">
            <w:pPr>
              <w:jc w:val="center"/>
              <w:rPr>
                <w:rFonts w:hint="default" w:ascii="Times New Roman" w:hAnsi="Times New Roman" w:cs="Times New Roman"/>
                <w:sz w:val="20"/>
              </w:rPr>
            </w:pPr>
          </w:p>
        </w:tc>
        <w:tc>
          <w:tcPr>
            <w:tcW w:w="759" w:type="dxa"/>
            <w:gridSpan w:val="2"/>
            <w:tcBorders>
              <w:tl2br w:val="nil"/>
              <w:tr2bl w:val="nil"/>
            </w:tcBorders>
            <w:vAlign w:val="center"/>
          </w:tcPr>
          <w:p w14:paraId="4D76596F">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center"/>
          </w:tcPr>
          <w:p w14:paraId="06D7D4A2">
            <w:pPr>
              <w:jc w:val="both"/>
              <w:rPr>
                <w:rFonts w:hint="default" w:ascii="Times New Roman" w:hAnsi="Times New Roman" w:cs="Times New Roman"/>
              </w:rPr>
            </w:pPr>
            <w:r>
              <w:rPr>
                <w:rFonts w:hint="default" w:ascii="Times New Roman" w:hAnsi="Times New Roman" w:cs="Times New Roman"/>
              </w:rPr>
              <w:t>对减少污染排放量的影响程度</w:t>
            </w:r>
          </w:p>
        </w:tc>
        <w:tc>
          <w:tcPr>
            <w:tcW w:w="4228" w:type="dxa"/>
            <w:gridSpan w:val="2"/>
            <w:tcBorders>
              <w:tl2br w:val="nil"/>
              <w:tr2bl w:val="nil"/>
            </w:tcBorders>
            <w:vAlign w:val="center"/>
          </w:tcPr>
          <w:p w14:paraId="1D6A1261">
            <w:pPr>
              <w:jc w:val="center"/>
              <w:rPr>
                <w:rFonts w:hint="default" w:ascii="Times New Roman" w:hAnsi="Times New Roman" w:cs="Times New Roman"/>
              </w:rPr>
            </w:pPr>
            <w:r>
              <w:rPr>
                <w:rFonts w:hint="default" w:ascii="Times New Roman" w:hAnsi="Times New Roman" w:cs="Times New Roman"/>
              </w:rPr>
              <w:t>较高</w:t>
            </w:r>
          </w:p>
        </w:tc>
      </w:tr>
      <w:tr w14:paraId="503F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C1DE080">
            <w:pPr>
              <w:jc w:val="center"/>
              <w:rPr>
                <w:rFonts w:hint="default" w:ascii="Times New Roman" w:hAnsi="Times New Roman" w:cs="Times New Roman"/>
                <w:sz w:val="20"/>
              </w:rPr>
            </w:pPr>
          </w:p>
        </w:tc>
        <w:tc>
          <w:tcPr>
            <w:tcW w:w="723" w:type="dxa"/>
            <w:vMerge w:val="continue"/>
            <w:tcBorders>
              <w:tl2br w:val="nil"/>
              <w:tr2bl w:val="nil"/>
            </w:tcBorders>
            <w:vAlign w:val="center"/>
          </w:tcPr>
          <w:p w14:paraId="272B8E97">
            <w:pPr>
              <w:jc w:val="center"/>
              <w:rPr>
                <w:rFonts w:hint="default" w:ascii="Times New Roman" w:hAnsi="Times New Roman" w:cs="Times New Roman"/>
                <w:sz w:val="20"/>
              </w:rPr>
            </w:pPr>
          </w:p>
        </w:tc>
        <w:tc>
          <w:tcPr>
            <w:tcW w:w="759" w:type="dxa"/>
            <w:gridSpan w:val="2"/>
            <w:tcBorders>
              <w:tl2br w:val="nil"/>
              <w:tr2bl w:val="nil"/>
            </w:tcBorders>
            <w:vAlign w:val="center"/>
          </w:tcPr>
          <w:p w14:paraId="3D902FC1">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center"/>
          </w:tcPr>
          <w:p w14:paraId="446F7385">
            <w:pPr>
              <w:jc w:val="both"/>
              <w:rPr>
                <w:rFonts w:hint="default" w:ascii="Times New Roman" w:hAnsi="Times New Roman" w:cs="Times New Roman"/>
              </w:rPr>
            </w:pPr>
            <w:r>
              <w:rPr>
                <w:rFonts w:hint="default" w:ascii="Times New Roman" w:hAnsi="Times New Roman" w:cs="Times New Roman"/>
              </w:rPr>
              <w:t>对单位履职、促进事业发展的持续影响程度</w:t>
            </w:r>
          </w:p>
        </w:tc>
        <w:tc>
          <w:tcPr>
            <w:tcW w:w="4228" w:type="dxa"/>
            <w:gridSpan w:val="2"/>
            <w:tcBorders>
              <w:tl2br w:val="nil"/>
              <w:tr2bl w:val="nil"/>
            </w:tcBorders>
            <w:vAlign w:val="center"/>
          </w:tcPr>
          <w:p w14:paraId="1EC299DA">
            <w:pPr>
              <w:jc w:val="center"/>
              <w:rPr>
                <w:rFonts w:hint="default" w:ascii="Times New Roman" w:hAnsi="Times New Roman" w:cs="Times New Roman"/>
              </w:rPr>
            </w:pPr>
            <w:r>
              <w:rPr>
                <w:rFonts w:hint="default" w:ascii="Times New Roman" w:hAnsi="Times New Roman" w:cs="Times New Roman"/>
              </w:rPr>
              <w:t>较高</w:t>
            </w:r>
          </w:p>
        </w:tc>
      </w:tr>
      <w:tr w14:paraId="0F62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89CFE0F">
            <w:pPr>
              <w:jc w:val="center"/>
              <w:rPr>
                <w:rFonts w:hint="default" w:ascii="Times New Roman" w:hAnsi="Times New Roman" w:cs="Times New Roman"/>
                <w:sz w:val="20"/>
              </w:rPr>
            </w:pPr>
          </w:p>
        </w:tc>
        <w:tc>
          <w:tcPr>
            <w:tcW w:w="723" w:type="dxa"/>
            <w:tcBorders>
              <w:tl2br w:val="nil"/>
              <w:tr2bl w:val="nil"/>
            </w:tcBorders>
            <w:vAlign w:val="center"/>
          </w:tcPr>
          <w:p w14:paraId="01E63732">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14:paraId="3ADD0FBA">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14:paraId="39B42D30">
            <w:pPr>
              <w:jc w:val="both"/>
              <w:rPr>
                <w:rFonts w:hint="default" w:ascii="Times New Roman" w:hAnsi="Times New Roman" w:cs="Times New Roman"/>
              </w:rPr>
            </w:pPr>
            <w:r>
              <w:rPr>
                <w:rFonts w:hint="default" w:ascii="Times New Roman" w:hAnsi="Times New Roman" w:cs="Times New Roman"/>
              </w:rPr>
              <w:t>学员满意度</w:t>
            </w:r>
          </w:p>
        </w:tc>
        <w:tc>
          <w:tcPr>
            <w:tcW w:w="4228" w:type="dxa"/>
            <w:gridSpan w:val="2"/>
            <w:tcBorders>
              <w:tl2br w:val="nil"/>
              <w:tr2bl w:val="nil"/>
            </w:tcBorders>
            <w:vAlign w:val="center"/>
          </w:tcPr>
          <w:p w14:paraId="0E0C77D0">
            <w:pPr>
              <w:jc w:val="center"/>
              <w:rPr>
                <w:rFonts w:hint="default" w:ascii="Times New Roman" w:hAnsi="Times New Roman" w:cs="Times New Roman"/>
              </w:rPr>
            </w:pPr>
            <w:r>
              <w:rPr>
                <w:rFonts w:hint="default" w:ascii="Times New Roman" w:hAnsi="Times New Roman" w:cs="Times New Roman"/>
              </w:rPr>
              <w:t>≥90%</w:t>
            </w:r>
          </w:p>
        </w:tc>
      </w:tr>
    </w:tbl>
    <w:p w14:paraId="122D90C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基本运行经费</w:t>
      </w:r>
      <w:r>
        <w:rPr>
          <w:rFonts w:hint="default" w:ascii="Times New Roman" w:hAnsi="Times New Roman" w:eastAsia="仿宋_GB2312" w:cs="Times New Roman"/>
          <w:kern w:val="0"/>
          <w:sz w:val="32"/>
          <w:szCs w:val="32"/>
        </w:rPr>
        <w:t>”项目。</w:t>
      </w:r>
    </w:p>
    <w:p w14:paraId="7AB314E1">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eastAsia" w:ascii="Times New Roman" w:hAnsi="Times New Roman" w:eastAsia="仿宋_GB2312" w:cs="Times New Roman"/>
          <w:kern w:val="0"/>
          <w:sz w:val="32"/>
          <w:szCs w:val="32"/>
          <w:lang w:val="en-US" w:eastAsia="zh-CN"/>
        </w:rPr>
        <w:t>搬迁新校后，随着校园面积、设施设备及工作人员的增加，各项开支相应增大，该项目主要为保证日常办公及水电运行正常运转，为教学科研工作提供有力的后勤保障。</w:t>
      </w:r>
    </w:p>
    <w:p w14:paraId="73BB2C05">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（2）立项依据。</w:t>
      </w:r>
      <w:r>
        <w:rPr>
          <w:rFonts w:hint="eastAsia" w:ascii="Times New Roman" w:hAnsi="Times New Roman" w:eastAsia="仿宋_GB2312" w:cs="Times New Roman"/>
          <w:kern w:val="0"/>
          <w:sz w:val="32"/>
          <w:szCs w:val="32"/>
          <w:lang w:val="en-US" w:eastAsia="zh-CN"/>
        </w:rPr>
        <w:t>《中国共产党党校工作条例》、《行政学院工作条例》、《社会主义学院工作暂行条例》、《中共安徽省委关于贯彻落实&lt;中国共产党党校工作条例&gt;的若干意见》（皖发【2009】16号）</w:t>
      </w:r>
    </w:p>
    <w:p w14:paraId="3EC578BC">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14:paraId="0E5F2F2C">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p>
    <w:p w14:paraId="4E830E94">
      <w:pPr>
        <w:keepNext w:val="0"/>
        <w:keepLines w:val="0"/>
        <w:pageBreakBefore w:val="0"/>
        <w:kinsoku/>
        <w:wordWrap/>
        <w:overflowPunct/>
        <w:topLinePunct w:val="0"/>
        <w:autoSpaceDE/>
        <w:autoSpaceDN/>
        <w:bidi w:val="0"/>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eastAsia" w:ascii="仿宋_GB2312" w:hAnsi="仿宋_GB2312" w:eastAsia="仿宋_GB2312" w:cs="仿宋_GB2312"/>
          <w:sz w:val="36"/>
          <w:szCs w:val="36"/>
          <w:lang w:val="en-US" w:eastAsia="zh-CN"/>
        </w:rPr>
        <w:t>维持党校运转。</w:t>
      </w:r>
    </w:p>
    <w:p w14:paraId="018849D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eastAsia" w:ascii="Times New Roman" w:hAnsi="Times New Roman" w:eastAsia="仿宋_GB2312" w:cs="Times New Roman"/>
          <w:kern w:val="0"/>
          <w:sz w:val="32"/>
          <w:szCs w:val="32"/>
          <w:lang w:val="en-US" w:eastAsia="zh-CN"/>
        </w:rPr>
        <w:t>743</w:t>
      </w:r>
      <w:r>
        <w:rPr>
          <w:rFonts w:hint="default" w:ascii="Times New Roman" w:hAnsi="Times New Roman" w:eastAsia="仿宋_GB2312" w:cs="Times New Roman"/>
          <w:kern w:val="0"/>
          <w:sz w:val="32"/>
          <w:szCs w:val="32"/>
        </w:rPr>
        <w:t>万元</w:t>
      </w:r>
    </w:p>
    <w:p w14:paraId="054AA36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
        <w:gridCol w:w="1080"/>
        <w:gridCol w:w="1590"/>
        <w:gridCol w:w="1080"/>
        <w:gridCol w:w="870"/>
        <w:gridCol w:w="1770"/>
        <w:gridCol w:w="1290"/>
        <w:gridCol w:w="1154"/>
        <w:gridCol w:w="901"/>
      </w:tblGrid>
      <w:tr w14:paraId="1D32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1" w:type="dxa"/>
          <w:trHeight w:val="253" w:hRule="atLeast"/>
        </w:trPr>
        <w:tc>
          <w:tcPr>
            <w:tcW w:w="9020" w:type="dxa"/>
            <w:gridSpan w:val="8"/>
            <w:tcBorders>
              <w:top w:val="nil"/>
              <w:left w:val="nil"/>
              <w:bottom w:val="nil"/>
              <w:right w:val="nil"/>
            </w:tcBorders>
            <w:vAlign w:val="center"/>
          </w:tcPr>
          <w:p w14:paraId="23A08120">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14:paraId="06E8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1" w:type="dxa"/>
          <w:trHeight w:val="270" w:hRule="atLeast"/>
        </w:trPr>
        <w:tc>
          <w:tcPr>
            <w:tcW w:w="9020" w:type="dxa"/>
            <w:gridSpan w:val="8"/>
            <w:tcBorders>
              <w:top w:val="nil"/>
              <w:left w:val="nil"/>
              <w:right w:val="nil"/>
            </w:tcBorders>
            <w:vAlign w:val="center"/>
          </w:tcPr>
          <w:p w14:paraId="15899730">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2024年</w:t>
            </w:r>
            <w:r>
              <w:rPr>
                <w:rFonts w:hint="default" w:ascii="Times New Roman" w:hAnsi="Times New Roman" w:cs="Times New Roman"/>
                <w:color w:val="000000"/>
                <w:kern w:val="0"/>
                <w:sz w:val="20"/>
                <w:szCs w:val="20"/>
              </w:rPr>
              <w:t xml:space="preserve">度）                                </w:t>
            </w:r>
          </w:p>
        </w:tc>
      </w:tr>
      <w:tr w14:paraId="51AA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08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1E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基本运行经费</w:t>
            </w:r>
          </w:p>
        </w:tc>
      </w:tr>
      <w:tr w14:paraId="5760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AD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53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中共淮北市委党校 070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8D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中共淮北市委党校</w:t>
            </w:r>
          </w:p>
        </w:tc>
      </w:tr>
      <w:tr w14:paraId="76BB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A6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F8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7F855">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202</w:t>
            </w:r>
            <w:r>
              <w:rPr>
                <w:rFonts w:hint="eastAsia" w:cs="Calibri"/>
                <w:i w:val="0"/>
                <w:iCs w:val="0"/>
                <w:color w:val="000000"/>
                <w:kern w:val="0"/>
                <w:sz w:val="21"/>
                <w:szCs w:val="21"/>
                <w:u w:val="none"/>
                <w:lang w:val="en-US" w:eastAsia="zh-CN" w:bidi="ar"/>
              </w:rPr>
              <w:t>4-2026</w:t>
            </w:r>
          </w:p>
        </w:tc>
      </w:tr>
      <w:tr w14:paraId="10D4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01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73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8244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743</w:t>
            </w:r>
          </w:p>
        </w:tc>
      </w:tr>
      <w:tr w14:paraId="1433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C7A5">
            <w:pPr>
              <w:jc w:val="center"/>
              <w:rPr>
                <w:rFonts w:hint="eastAsia" w:ascii="宋体" w:hAnsi="宋体" w:eastAsia="宋体" w:cs="宋体"/>
                <w:i w:val="0"/>
                <w:iCs w:val="0"/>
                <w:color w:val="000000"/>
                <w:sz w:val="20"/>
                <w:szCs w:val="20"/>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E3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23AE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743</w:t>
            </w:r>
          </w:p>
        </w:tc>
      </w:tr>
      <w:tr w14:paraId="337A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1904F">
            <w:pPr>
              <w:jc w:val="center"/>
              <w:rPr>
                <w:rFonts w:hint="eastAsia" w:ascii="宋体" w:hAnsi="宋体" w:eastAsia="宋体" w:cs="宋体"/>
                <w:i w:val="0"/>
                <w:iCs w:val="0"/>
                <w:color w:val="000000"/>
                <w:sz w:val="20"/>
                <w:szCs w:val="20"/>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46F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6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821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387" w:hRule="atLeast"/>
        </w:trPr>
        <w:tc>
          <w:tcPr>
            <w:tcW w:w="37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F418">
            <w:pPr>
              <w:jc w:val="center"/>
              <w:rPr>
                <w:rFonts w:hint="eastAsia" w:ascii="宋体" w:hAnsi="宋体" w:eastAsia="宋体" w:cs="宋体"/>
                <w:i w:val="0"/>
                <w:iCs w:val="0"/>
                <w:color w:val="000000"/>
                <w:sz w:val="20"/>
                <w:szCs w:val="20"/>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0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08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D8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7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E9E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保障党校教学、科研等日常工作的正常开展。包括物业管理负责的市委党校教学办公综合楼、报告厅及室外道路广场设施保洁、校园安保、机电设备使用维护和绿化管养；餐饮与学员公寓托管服务提供的住宿、餐饮服务、运行管理和托管范围内的电器、设备使用维护等。</w:t>
            </w:r>
          </w:p>
        </w:tc>
      </w:tr>
      <w:tr w14:paraId="139F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63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1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2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D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A4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61F6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CD8A">
            <w:pPr>
              <w:jc w:val="center"/>
              <w:rPr>
                <w:rFonts w:hint="eastAsia" w:ascii="宋体" w:hAnsi="宋体" w:eastAsia="宋体" w:cs="宋体"/>
                <w:i w:val="0"/>
                <w:iCs w:val="0"/>
                <w:color w:val="000000"/>
                <w:sz w:val="20"/>
                <w:szCs w:val="20"/>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2F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BB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服务人数数量</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AC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≥500人次</w:t>
            </w:r>
          </w:p>
        </w:tc>
      </w:tr>
      <w:tr w14:paraId="6CB0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B05F">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3E30">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199D">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3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服务培训班次</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35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≥13期</w:t>
            </w:r>
          </w:p>
        </w:tc>
      </w:tr>
      <w:tr w14:paraId="31046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FE10">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83FC">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83E2">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56F">
            <w:pPr>
              <w:keepNext w:val="0"/>
              <w:keepLines w:val="0"/>
              <w:widowControl/>
              <w:suppressLineNumbers w:val="0"/>
              <w:jc w:val="left"/>
              <w:textAlignment w:val="center"/>
              <w:rPr>
                <w:rFonts w:ascii="汉仪中秀体简" w:hAnsi="汉仪中秀体简" w:eastAsia="汉仪中秀体简" w:cs="汉仪中秀体简"/>
                <w:i w:val="0"/>
                <w:iCs w:val="0"/>
                <w:color w:val="000000"/>
                <w:sz w:val="20"/>
                <w:szCs w:val="20"/>
                <w:u w:val="none"/>
              </w:rPr>
            </w:pPr>
            <w:r>
              <w:rPr>
                <w:rFonts w:hint="default" w:ascii="汉仪中秀体简" w:hAnsi="汉仪中秀体简" w:eastAsia="汉仪中秀体简" w:cs="汉仪中秀体简"/>
                <w:i w:val="0"/>
                <w:iCs w:val="0"/>
                <w:color w:val="000000"/>
                <w:kern w:val="0"/>
                <w:sz w:val="20"/>
                <w:szCs w:val="20"/>
                <w:u w:val="none"/>
                <w:lang w:val="en-US" w:eastAsia="zh-CN" w:bidi="ar"/>
              </w:rPr>
              <w:t>物业服务面积</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DA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≥5000平方米</w:t>
            </w:r>
          </w:p>
        </w:tc>
      </w:tr>
      <w:tr w14:paraId="5B84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FC3A">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E4E9">
            <w:pPr>
              <w:jc w:val="center"/>
              <w:rPr>
                <w:rFonts w:hint="eastAsia" w:ascii="宋体" w:hAnsi="宋体" w:eastAsia="宋体" w:cs="宋体"/>
                <w:i w:val="0"/>
                <w:iCs w:val="0"/>
                <w:color w:val="000000"/>
                <w:sz w:val="20"/>
                <w:szCs w:val="20"/>
                <w:u w:val="none"/>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0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E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r>
      <w:tr w14:paraId="29DC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9F09">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B3AC">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707D">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6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公共设施设备维护保养完好率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71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876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FF5D">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8AA6">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686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7F32">
            <w:pPr>
              <w:keepNext w:val="0"/>
              <w:keepLines w:val="0"/>
              <w:widowControl/>
              <w:suppressLineNumbers w:val="0"/>
              <w:jc w:val="left"/>
              <w:textAlignment w:val="center"/>
              <w:rPr>
                <w:rFonts w:hint="default" w:ascii="汉仪中秀体简" w:hAnsi="汉仪中秀体简" w:eastAsia="汉仪中秀体简" w:cs="汉仪中秀体简"/>
                <w:i w:val="0"/>
                <w:iCs w:val="0"/>
                <w:color w:val="000000"/>
                <w:sz w:val="20"/>
                <w:szCs w:val="20"/>
                <w:u w:val="none"/>
              </w:rPr>
            </w:pPr>
            <w:r>
              <w:rPr>
                <w:rFonts w:hint="default" w:ascii="汉仪中秀体简" w:hAnsi="汉仪中秀体简" w:eastAsia="汉仪中秀体简" w:cs="汉仪中秀体简"/>
                <w:i w:val="0"/>
                <w:iCs w:val="0"/>
                <w:color w:val="000000"/>
                <w:kern w:val="0"/>
                <w:sz w:val="20"/>
                <w:szCs w:val="20"/>
                <w:u w:val="none"/>
                <w:lang w:val="en-US" w:eastAsia="zh-CN" w:bidi="ar"/>
              </w:rPr>
              <w:t>楼房管理完好率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F3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7DB2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59FD">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B806">
            <w:pPr>
              <w:jc w:val="center"/>
              <w:rPr>
                <w:rFonts w:hint="eastAsia" w:ascii="宋体" w:hAnsi="宋体" w:eastAsia="宋体" w:cs="宋体"/>
                <w:i w:val="0"/>
                <w:iCs w:val="0"/>
                <w:color w:val="000000"/>
                <w:sz w:val="20"/>
                <w:szCs w:val="20"/>
                <w:u w:val="none"/>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FE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后勤服务完成及时性</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2C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4EF7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6AC0">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8B10">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0EA3">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A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经费支出时效性</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ED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6678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CA4A">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7954">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61CF">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设施设备维保及时率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37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2078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4EA4">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F7A9">
            <w:pPr>
              <w:jc w:val="center"/>
              <w:rPr>
                <w:rFonts w:hint="eastAsia" w:ascii="宋体" w:hAnsi="宋体" w:eastAsia="宋体" w:cs="宋体"/>
                <w:i w:val="0"/>
                <w:iCs w:val="0"/>
                <w:color w:val="000000"/>
                <w:sz w:val="20"/>
                <w:szCs w:val="20"/>
                <w:u w:val="none"/>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E78A">
            <w:pPr>
              <w:jc w:val="center"/>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CC02">
            <w:pPr>
              <w:keepNext w:val="0"/>
              <w:keepLines w:val="0"/>
              <w:widowControl/>
              <w:suppressLineNumbers w:val="0"/>
              <w:jc w:val="left"/>
              <w:textAlignment w:val="center"/>
              <w:rPr>
                <w:rFonts w:hint="default" w:ascii="汉仪中秀体简" w:hAnsi="汉仪中秀体简" w:eastAsia="汉仪中秀体简" w:cs="汉仪中秀体简"/>
                <w:i w:val="0"/>
                <w:iCs w:val="0"/>
                <w:color w:val="000000"/>
                <w:sz w:val="20"/>
                <w:szCs w:val="20"/>
                <w:u w:val="none"/>
              </w:rPr>
            </w:pPr>
            <w:r>
              <w:rPr>
                <w:rFonts w:hint="default" w:ascii="汉仪中秀体简" w:hAnsi="汉仪中秀体简" w:eastAsia="汉仪中秀体简" w:cs="汉仪中秀体简"/>
                <w:i w:val="0"/>
                <w:iCs w:val="0"/>
                <w:color w:val="000000"/>
                <w:kern w:val="0"/>
                <w:sz w:val="20"/>
                <w:szCs w:val="20"/>
                <w:u w:val="none"/>
                <w:lang w:val="en-US" w:eastAsia="zh-CN" w:bidi="ar"/>
              </w:rPr>
              <w:t>卫生保洁及时率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DA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r>
      <w:tr w14:paraId="12B6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FA95">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AA5A">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9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6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项目总成本</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3C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743</w:t>
            </w:r>
            <w:r>
              <w:rPr>
                <w:rFonts w:hint="eastAsia" w:ascii="宋体" w:hAnsi="宋体" w:eastAsia="宋体" w:cs="宋体"/>
                <w:i w:val="0"/>
                <w:iCs w:val="0"/>
                <w:color w:val="000000"/>
                <w:kern w:val="0"/>
                <w:sz w:val="20"/>
                <w:szCs w:val="20"/>
                <w:u w:val="none"/>
                <w:lang w:val="en-US" w:eastAsia="zh-CN" w:bidi="ar"/>
              </w:rPr>
              <w:t>0000元</w:t>
            </w:r>
          </w:p>
        </w:tc>
      </w:tr>
      <w:tr w14:paraId="2349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AE1B">
            <w:pPr>
              <w:jc w:val="center"/>
              <w:rPr>
                <w:rFonts w:hint="eastAsia" w:ascii="宋体" w:hAnsi="宋体" w:eastAsia="宋体" w:cs="宋体"/>
                <w:i w:val="0"/>
                <w:iCs w:val="0"/>
                <w:color w:val="000000"/>
                <w:sz w:val="20"/>
                <w:szCs w:val="20"/>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E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AC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D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对经济发展的影响程度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C5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0DEC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A08D">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5838">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47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对办公环境的改善或提升程度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C1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7446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5FCC">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7F11">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水电能耗节约率</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F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679A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FB64">
            <w:pPr>
              <w:jc w:val="center"/>
              <w:rPr>
                <w:rFonts w:hint="eastAsia" w:ascii="宋体" w:hAnsi="宋体" w:eastAsia="宋体" w:cs="宋体"/>
                <w:i w:val="0"/>
                <w:iCs w:val="0"/>
                <w:color w:val="000000"/>
                <w:sz w:val="20"/>
                <w:szCs w:val="20"/>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B5CB">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2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3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对保障机关正常运转的持续影响程度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r>
      <w:tr w14:paraId="6FBC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86" w:type="dxa"/>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500C">
            <w:pPr>
              <w:jc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8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E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6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14:paraId="6903C59E">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上缴省委党校支出</w:t>
      </w:r>
      <w:r>
        <w:rPr>
          <w:rFonts w:hint="default" w:ascii="Times New Roman" w:hAnsi="Times New Roman" w:eastAsia="仿宋_GB2312" w:cs="Times New Roman"/>
          <w:kern w:val="0"/>
          <w:sz w:val="32"/>
          <w:szCs w:val="32"/>
        </w:rPr>
        <w:t>”项目。</w:t>
      </w:r>
    </w:p>
    <w:p w14:paraId="20217137">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eastAsia" w:ascii="Times New Roman" w:hAnsi="Times New Roman" w:eastAsia="仿宋_GB2312" w:cs="Times New Roman"/>
          <w:kern w:val="0"/>
          <w:sz w:val="32"/>
          <w:szCs w:val="32"/>
          <w:lang w:val="en-US" w:eastAsia="zh-CN"/>
        </w:rPr>
        <w:t>上缴省委党校支出根据省委党校要求，主要用于党校研究生学费的上缴。</w:t>
      </w:r>
    </w:p>
    <w:p w14:paraId="16FE78A5">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（2）立项依据。《中国共产党党校（行政学院）工作条例》《社会主义学院工作暂行条例》《中共淮北市委关于加强和改进党校工作的意见》(淮发〔2010〕3号)</w:t>
      </w:r>
      <w:r>
        <w:rPr>
          <w:rFonts w:hint="default" w:ascii="Times New Roman" w:hAnsi="Times New Roman" w:eastAsia="仿宋_GB2312" w:cs="Times New Roman"/>
          <w:kern w:val="0"/>
          <w:sz w:val="32"/>
          <w:szCs w:val="32"/>
        </w:rPr>
        <w:tab/>
      </w:r>
    </w:p>
    <w:p w14:paraId="5FEAB7D4">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14:paraId="4F0BEAF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p>
    <w:p w14:paraId="0FF2DAAF">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eastAsia" w:ascii="Times New Roman" w:hAnsi="Times New Roman" w:eastAsia="仿宋_GB2312" w:cs="Times New Roman"/>
          <w:kern w:val="0"/>
          <w:sz w:val="32"/>
          <w:szCs w:val="32"/>
          <w:lang w:val="en-US" w:eastAsia="zh-CN"/>
        </w:rPr>
        <w:t>加强党校研究生教学任务，培养人才，党校按规定收取学费，并上缴省委党校。</w:t>
      </w:r>
    </w:p>
    <w:p w14:paraId="3E598D9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eastAsia" w:ascii="Times New Roman" w:hAnsi="Times New Roman" w:eastAsia="仿宋_GB2312" w:cs="Times New Roman"/>
          <w:kern w:val="0"/>
          <w:sz w:val="32"/>
          <w:szCs w:val="32"/>
          <w:lang w:val="en-US" w:eastAsia="zh-CN"/>
        </w:rPr>
        <w:t>102</w:t>
      </w:r>
      <w:r>
        <w:rPr>
          <w:rFonts w:hint="default" w:ascii="Times New Roman" w:hAnsi="Times New Roman" w:eastAsia="仿宋_GB2312" w:cs="Times New Roman"/>
          <w:kern w:val="0"/>
          <w:sz w:val="32"/>
          <w:szCs w:val="32"/>
        </w:rPr>
        <w:t>万元</w:t>
      </w:r>
    </w:p>
    <w:p w14:paraId="1F3A0C0D">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612"/>
        <w:gridCol w:w="416"/>
        <w:gridCol w:w="1101"/>
        <w:gridCol w:w="2241"/>
        <w:gridCol w:w="1633"/>
        <w:gridCol w:w="2602"/>
      </w:tblGrid>
      <w:tr w14:paraId="3536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D2B457D">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14:paraId="4E66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FD9E4B5">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w:t>
            </w:r>
            <w:r>
              <w:rPr>
                <w:rFonts w:hint="eastAsia" w:ascii="Times New Roman" w:hAnsi="Times New Roman" w:cs="Times New Roman"/>
                <w:color w:val="000000"/>
                <w:kern w:val="0"/>
                <w:sz w:val="20"/>
                <w:szCs w:val="20"/>
                <w:lang w:eastAsia="zh-CN"/>
              </w:rPr>
              <w:t>2024年</w:t>
            </w:r>
            <w:r>
              <w:rPr>
                <w:rFonts w:hint="default" w:ascii="Times New Roman" w:hAnsi="Times New Roman" w:cs="Times New Roman"/>
                <w:color w:val="000000"/>
                <w:kern w:val="0"/>
                <w:sz w:val="20"/>
                <w:szCs w:val="20"/>
              </w:rPr>
              <w:t xml:space="preserve">度）                                </w:t>
            </w:r>
          </w:p>
        </w:tc>
      </w:tr>
      <w:tr w14:paraId="383A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B659134">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项目名称</w:t>
            </w:r>
          </w:p>
        </w:tc>
        <w:tc>
          <w:tcPr>
            <w:tcW w:w="7577" w:type="dxa"/>
            <w:gridSpan w:val="4"/>
            <w:tcBorders>
              <w:tl2br w:val="nil"/>
              <w:tr2bl w:val="nil"/>
            </w:tcBorders>
            <w:vAlign w:val="center"/>
          </w:tcPr>
          <w:p w14:paraId="354A5DC7">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上缴省委党校支出</w:t>
            </w:r>
          </w:p>
        </w:tc>
      </w:tr>
      <w:tr w14:paraId="1748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FB07337">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3342" w:type="dxa"/>
            <w:gridSpan w:val="2"/>
            <w:tcBorders>
              <w:tl2br w:val="nil"/>
              <w:tr2bl w:val="nil"/>
            </w:tcBorders>
            <w:vAlign w:val="center"/>
          </w:tcPr>
          <w:p w14:paraId="0058E265">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中共淮北市委党校 070</w:t>
            </w:r>
          </w:p>
        </w:tc>
        <w:tc>
          <w:tcPr>
            <w:tcW w:w="1633" w:type="dxa"/>
            <w:tcBorders>
              <w:tl2br w:val="nil"/>
              <w:tr2bl w:val="nil"/>
            </w:tcBorders>
            <w:vAlign w:val="center"/>
          </w:tcPr>
          <w:p w14:paraId="44320F9A">
            <w:pPr>
              <w:keepNext w:val="0"/>
              <w:keepLines w:val="0"/>
              <w:widowControl/>
              <w:suppressLineNumbers w:val="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实施单位</w:t>
            </w:r>
          </w:p>
        </w:tc>
        <w:tc>
          <w:tcPr>
            <w:tcW w:w="2602" w:type="dxa"/>
            <w:tcBorders>
              <w:tl2br w:val="nil"/>
              <w:tr2bl w:val="nil"/>
            </w:tcBorders>
            <w:vAlign w:val="center"/>
          </w:tcPr>
          <w:p w14:paraId="551CF915">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1"/>
                <w:szCs w:val="21"/>
                <w:u w:val="none"/>
                <w:lang w:val="en-US" w:eastAsia="zh-CN" w:bidi="ar"/>
              </w:rPr>
              <w:t>中共淮北市委党校</w:t>
            </w:r>
          </w:p>
        </w:tc>
      </w:tr>
      <w:tr w14:paraId="53B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1252E99">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项目来源</w:t>
            </w:r>
          </w:p>
        </w:tc>
        <w:tc>
          <w:tcPr>
            <w:tcW w:w="3342" w:type="dxa"/>
            <w:gridSpan w:val="2"/>
            <w:tcBorders>
              <w:tl2br w:val="nil"/>
              <w:tr2bl w:val="nil"/>
            </w:tcBorders>
            <w:vAlign w:val="center"/>
          </w:tcPr>
          <w:p w14:paraId="428A924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常规</w:t>
            </w:r>
          </w:p>
        </w:tc>
        <w:tc>
          <w:tcPr>
            <w:tcW w:w="1633" w:type="dxa"/>
            <w:tcBorders>
              <w:tl2br w:val="nil"/>
              <w:tr2bl w:val="nil"/>
            </w:tcBorders>
            <w:vAlign w:val="center"/>
          </w:tcPr>
          <w:p w14:paraId="6AF11AE5">
            <w:pPr>
              <w:keepNext w:val="0"/>
              <w:keepLines w:val="0"/>
              <w:widowControl/>
              <w:suppressLineNumbers w:val="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项目期</w:t>
            </w:r>
          </w:p>
        </w:tc>
        <w:tc>
          <w:tcPr>
            <w:tcW w:w="2602" w:type="dxa"/>
            <w:tcBorders>
              <w:tl2br w:val="nil"/>
              <w:tr2bl w:val="nil"/>
            </w:tcBorders>
            <w:vAlign w:val="center"/>
          </w:tcPr>
          <w:p w14:paraId="7E262A62">
            <w:pPr>
              <w:keepNext w:val="0"/>
              <w:keepLines w:val="0"/>
              <w:widowControl/>
              <w:suppressLineNumbers w:val="0"/>
              <w:jc w:val="center"/>
              <w:textAlignment w:val="center"/>
              <w:rPr>
                <w:rFonts w:hint="default" w:ascii="Times New Roman" w:hAnsi="Times New Roman" w:cs="Times New Roman"/>
                <w:lang w:val="en-US"/>
              </w:rPr>
            </w:pPr>
            <w:r>
              <w:rPr>
                <w:rFonts w:hint="default" w:ascii="Calibri" w:hAnsi="Calibri" w:eastAsia="宋体" w:cs="Calibri"/>
                <w:i w:val="0"/>
                <w:iCs w:val="0"/>
                <w:color w:val="000000"/>
                <w:kern w:val="0"/>
                <w:sz w:val="21"/>
                <w:szCs w:val="21"/>
                <w:u w:val="none"/>
                <w:lang w:val="en-US" w:eastAsia="zh-CN" w:bidi="ar"/>
              </w:rPr>
              <w:t>202</w:t>
            </w:r>
            <w:r>
              <w:rPr>
                <w:rFonts w:hint="eastAsia" w:cs="Calibri"/>
                <w:i w:val="0"/>
                <w:iCs w:val="0"/>
                <w:color w:val="000000"/>
                <w:kern w:val="0"/>
                <w:sz w:val="21"/>
                <w:szCs w:val="21"/>
                <w:u w:val="none"/>
                <w:lang w:val="en-US" w:eastAsia="zh-CN" w:bidi="ar"/>
              </w:rPr>
              <w:t>4-2026</w:t>
            </w:r>
          </w:p>
        </w:tc>
      </w:tr>
      <w:tr w14:paraId="4968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14:paraId="1B5DFA17">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3342" w:type="dxa"/>
            <w:gridSpan w:val="2"/>
            <w:tcBorders>
              <w:tl2br w:val="nil"/>
              <w:tr2bl w:val="nil"/>
            </w:tcBorders>
            <w:vAlign w:val="center"/>
          </w:tcPr>
          <w:p w14:paraId="48AEBD52">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35" w:type="dxa"/>
            <w:gridSpan w:val="2"/>
            <w:tcBorders>
              <w:tl2br w:val="nil"/>
              <w:tr2bl w:val="nil"/>
            </w:tcBorders>
            <w:vAlign w:val="center"/>
          </w:tcPr>
          <w:p w14:paraId="3CA92DA0">
            <w:pPr>
              <w:keepNext w:val="0"/>
              <w:keepLines w:val="0"/>
              <w:widowControl/>
              <w:suppressLineNumbers w:val="0"/>
              <w:jc w:val="center"/>
              <w:textAlignment w:val="center"/>
              <w:rPr>
                <w:rFonts w:hint="default" w:ascii="Times New Roman" w:hAnsi="Times New Roman" w:eastAsia="宋体" w:cs="Times New Roman"/>
                <w:sz w:val="20"/>
                <w:lang w:val="en-US" w:eastAsia="zh-CN"/>
              </w:rPr>
            </w:pPr>
            <w:r>
              <w:rPr>
                <w:rFonts w:hint="eastAsia" w:ascii="宋体" w:hAnsi="宋体" w:eastAsia="宋体" w:cs="宋体"/>
                <w:i w:val="0"/>
                <w:iCs w:val="0"/>
                <w:color w:val="000000"/>
                <w:kern w:val="0"/>
                <w:sz w:val="20"/>
                <w:szCs w:val="20"/>
                <w:u w:val="none"/>
                <w:lang w:val="en-US" w:eastAsia="zh-CN" w:bidi="ar"/>
              </w:rPr>
              <w:t>102</w:t>
            </w:r>
          </w:p>
        </w:tc>
      </w:tr>
      <w:tr w14:paraId="35E1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BBBE1C8">
            <w:pPr>
              <w:jc w:val="center"/>
              <w:rPr>
                <w:rFonts w:hint="default" w:ascii="Times New Roman" w:hAnsi="Times New Roman" w:cs="Times New Roman"/>
                <w:sz w:val="20"/>
              </w:rPr>
            </w:pPr>
          </w:p>
        </w:tc>
        <w:tc>
          <w:tcPr>
            <w:tcW w:w="3342" w:type="dxa"/>
            <w:gridSpan w:val="2"/>
            <w:tcBorders>
              <w:tl2br w:val="nil"/>
              <w:tr2bl w:val="nil"/>
            </w:tcBorders>
            <w:vAlign w:val="center"/>
          </w:tcPr>
          <w:p w14:paraId="04B43184">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35" w:type="dxa"/>
            <w:gridSpan w:val="2"/>
            <w:tcBorders>
              <w:tl2br w:val="nil"/>
              <w:tr2bl w:val="nil"/>
            </w:tcBorders>
            <w:vAlign w:val="center"/>
          </w:tcPr>
          <w:p w14:paraId="022FF43E">
            <w:pPr>
              <w:keepNext w:val="0"/>
              <w:keepLines w:val="0"/>
              <w:widowControl/>
              <w:suppressLineNumbers w:val="0"/>
              <w:jc w:val="center"/>
              <w:textAlignment w:val="center"/>
              <w:rPr>
                <w:rFonts w:hint="default" w:ascii="Times New Roman" w:hAnsi="Times New Roman" w:eastAsia="宋体" w:cs="Times New Roman"/>
                <w:sz w:val="20"/>
                <w:lang w:val="en-US" w:eastAsia="zh-CN"/>
              </w:rPr>
            </w:pPr>
            <w:r>
              <w:rPr>
                <w:rFonts w:hint="eastAsia" w:ascii="宋体" w:hAnsi="宋体" w:eastAsia="宋体" w:cs="宋体"/>
                <w:i w:val="0"/>
                <w:iCs w:val="0"/>
                <w:color w:val="000000"/>
                <w:kern w:val="0"/>
                <w:sz w:val="20"/>
                <w:szCs w:val="20"/>
                <w:u w:val="none"/>
                <w:lang w:val="en-US" w:eastAsia="zh-CN" w:bidi="ar"/>
              </w:rPr>
              <w:t>102</w:t>
            </w:r>
          </w:p>
        </w:tc>
      </w:tr>
      <w:tr w14:paraId="4D03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FD18051">
            <w:pPr>
              <w:jc w:val="center"/>
              <w:rPr>
                <w:rFonts w:hint="default" w:ascii="Times New Roman" w:hAnsi="Times New Roman" w:cs="Times New Roman"/>
                <w:sz w:val="20"/>
              </w:rPr>
            </w:pPr>
          </w:p>
        </w:tc>
        <w:tc>
          <w:tcPr>
            <w:tcW w:w="3342" w:type="dxa"/>
            <w:gridSpan w:val="2"/>
            <w:tcBorders>
              <w:tl2br w:val="nil"/>
              <w:tr2bl w:val="nil"/>
            </w:tcBorders>
            <w:vAlign w:val="center"/>
          </w:tcPr>
          <w:p w14:paraId="0A43CD13">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35" w:type="dxa"/>
            <w:gridSpan w:val="2"/>
            <w:tcBorders>
              <w:tl2br w:val="nil"/>
              <w:tr2bl w:val="nil"/>
            </w:tcBorders>
            <w:vAlign w:val="center"/>
          </w:tcPr>
          <w:p w14:paraId="4C3037B9">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0</w:t>
            </w:r>
          </w:p>
        </w:tc>
      </w:tr>
      <w:tr w14:paraId="128C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4FBBABC">
            <w:pPr>
              <w:jc w:val="center"/>
              <w:rPr>
                <w:rFonts w:hint="default" w:ascii="Times New Roman" w:hAnsi="Times New Roman" w:cs="Times New Roman"/>
                <w:sz w:val="20"/>
              </w:rPr>
            </w:pPr>
          </w:p>
        </w:tc>
        <w:tc>
          <w:tcPr>
            <w:tcW w:w="3342" w:type="dxa"/>
            <w:gridSpan w:val="2"/>
            <w:tcBorders>
              <w:tl2br w:val="nil"/>
              <w:tr2bl w:val="nil"/>
            </w:tcBorders>
            <w:vAlign w:val="center"/>
          </w:tcPr>
          <w:p w14:paraId="2C3E6FA8">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35" w:type="dxa"/>
            <w:gridSpan w:val="2"/>
            <w:tcBorders>
              <w:tl2br w:val="nil"/>
              <w:tr2bl w:val="nil"/>
            </w:tcBorders>
            <w:vAlign w:val="center"/>
          </w:tcPr>
          <w:p w14:paraId="61B77EE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0</w:t>
            </w:r>
          </w:p>
        </w:tc>
      </w:tr>
      <w:tr w14:paraId="7110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15" w:type="dxa"/>
            <w:tcBorders>
              <w:tl2br w:val="nil"/>
              <w:tr2bl w:val="nil"/>
            </w:tcBorders>
            <w:vAlign w:val="center"/>
          </w:tcPr>
          <w:p w14:paraId="1A09EB03">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年度目标</w:t>
            </w:r>
          </w:p>
        </w:tc>
        <w:tc>
          <w:tcPr>
            <w:tcW w:w="8605" w:type="dxa"/>
            <w:gridSpan w:val="6"/>
            <w:tcBorders>
              <w:tl2br w:val="nil"/>
              <w:tr2bl w:val="nil"/>
            </w:tcBorders>
            <w:vAlign w:val="center"/>
          </w:tcPr>
          <w:p w14:paraId="62631F47">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 xml:space="preserve"> 为加强党校研究生教学任务，培养人才，按规定收取学费，并上缴省委党校。</w:t>
            </w:r>
          </w:p>
        </w:tc>
      </w:tr>
      <w:tr w14:paraId="763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15" w:type="dxa"/>
            <w:vMerge w:val="restart"/>
            <w:tcBorders>
              <w:tl2br w:val="nil"/>
              <w:tr2bl w:val="nil"/>
            </w:tcBorders>
            <w:vAlign w:val="center"/>
          </w:tcPr>
          <w:p w14:paraId="7F67D0D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绩效指标</w:t>
            </w:r>
          </w:p>
        </w:tc>
        <w:tc>
          <w:tcPr>
            <w:tcW w:w="612" w:type="dxa"/>
            <w:tcBorders>
              <w:tl2br w:val="nil"/>
              <w:tr2bl w:val="nil"/>
            </w:tcBorders>
            <w:vAlign w:val="center"/>
          </w:tcPr>
          <w:p w14:paraId="68AEBE44">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一级指标</w:t>
            </w:r>
          </w:p>
        </w:tc>
        <w:tc>
          <w:tcPr>
            <w:tcW w:w="1517" w:type="dxa"/>
            <w:gridSpan w:val="2"/>
            <w:tcBorders>
              <w:tl2br w:val="nil"/>
              <w:tr2bl w:val="nil"/>
            </w:tcBorders>
            <w:vAlign w:val="center"/>
          </w:tcPr>
          <w:p w14:paraId="18A2F2CE">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二级指标</w:t>
            </w:r>
          </w:p>
        </w:tc>
        <w:tc>
          <w:tcPr>
            <w:tcW w:w="2241" w:type="dxa"/>
            <w:tcBorders>
              <w:tl2br w:val="nil"/>
              <w:tr2bl w:val="nil"/>
            </w:tcBorders>
            <w:vAlign w:val="center"/>
          </w:tcPr>
          <w:p w14:paraId="6DD7DB06">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三级指标</w:t>
            </w:r>
          </w:p>
        </w:tc>
        <w:tc>
          <w:tcPr>
            <w:tcW w:w="4235" w:type="dxa"/>
            <w:gridSpan w:val="2"/>
            <w:tcBorders>
              <w:tl2br w:val="nil"/>
              <w:tr2bl w:val="nil"/>
            </w:tcBorders>
            <w:vAlign w:val="center"/>
          </w:tcPr>
          <w:p w14:paraId="6747E5E9">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指标值</w:t>
            </w:r>
          </w:p>
        </w:tc>
      </w:tr>
      <w:tr w14:paraId="437F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2C35DB8A">
            <w:pPr>
              <w:jc w:val="center"/>
              <w:rPr>
                <w:rFonts w:hint="default" w:ascii="Times New Roman" w:hAnsi="Times New Roman" w:cs="Times New Roman"/>
                <w:sz w:val="20"/>
              </w:rPr>
            </w:pPr>
          </w:p>
        </w:tc>
        <w:tc>
          <w:tcPr>
            <w:tcW w:w="612" w:type="dxa"/>
            <w:vMerge w:val="restart"/>
            <w:tcBorders>
              <w:tl2br w:val="nil"/>
              <w:tr2bl w:val="nil"/>
            </w:tcBorders>
            <w:vAlign w:val="center"/>
          </w:tcPr>
          <w:p w14:paraId="6D6DFD86">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产出指标</w:t>
            </w:r>
          </w:p>
        </w:tc>
        <w:tc>
          <w:tcPr>
            <w:tcW w:w="1517" w:type="dxa"/>
            <w:gridSpan w:val="2"/>
            <w:vMerge w:val="restart"/>
            <w:tcBorders>
              <w:tl2br w:val="nil"/>
              <w:tr2bl w:val="nil"/>
            </w:tcBorders>
            <w:vAlign w:val="center"/>
          </w:tcPr>
          <w:p w14:paraId="2D16D2F6">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数量指标</w:t>
            </w:r>
          </w:p>
        </w:tc>
        <w:tc>
          <w:tcPr>
            <w:tcW w:w="2241" w:type="dxa"/>
            <w:tcBorders>
              <w:tl2br w:val="nil"/>
              <w:tr2bl w:val="nil"/>
            </w:tcBorders>
            <w:vAlign w:val="center"/>
          </w:tcPr>
          <w:p w14:paraId="6AFD5083">
            <w:pPr>
              <w:keepNext w:val="0"/>
              <w:keepLines w:val="0"/>
              <w:widowControl/>
              <w:suppressLineNumbers w:val="0"/>
              <w:jc w:val="left"/>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培训人次</w:t>
            </w:r>
          </w:p>
        </w:tc>
        <w:tc>
          <w:tcPr>
            <w:tcW w:w="4235" w:type="dxa"/>
            <w:gridSpan w:val="2"/>
            <w:tcBorders>
              <w:tl2br w:val="nil"/>
              <w:tr2bl w:val="nil"/>
            </w:tcBorders>
            <w:vAlign w:val="center"/>
          </w:tcPr>
          <w:p w14:paraId="425D628E">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≥300人次</w:t>
            </w:r>
          </w:p>
        </w:tc>
      </w:tr>
      <w:tr w14:paraId="3A77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7C31AAE1">
            <w:pPr>
              <w:jc w:val="center"/>
              <w:rPr>
                <w:rFonts w:hint="default" w:ascii="Times New Roman" w:hAnsi="Times New Roman" w:cs="Times New Roman"/>
                <w:sz w:val="20"/>
              </w:rPr>
            </w:pPr>
          </w:p>
        </w:tc>
        <w:tc>
          <w:tcPr>
            <w:tcW w:w="612" w:type="dxa"/>
            <w:vMerge w:val="continue"/>
            <w:tcBorders>
              <w:tl2br w:val="nil"/>
              <w:tr2bl w:val="nil"/>
            </w:tcBorders>
            <w:vAlign w:val="center"/>
          </w:tcPr>
          <w:p w14:paraId="724B952A">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4CACD29E">
            <w:pPr>
              <w:jc w:val="center"/>
              <w:rPr>
                <w:rFonts w:hint="default" w:ascii="Times New Roman" w:hAnsi="Times New Roman" w:cs="Times New Roman"/>
                <w:sz w:val="20"/>
              </w:rPr>
            </w:pPr>
          </w:p>
        </w:tc>
        <w:tc>
          <w:tcPr>
            <w:tcW w:w="2241" w:type="dxa"/>
            <w:tcBorders>
              <w:tl2br w:val="nil"/>
              <w:tr2bl w:val="nil"/>
            </w:tcBorders>
            <w:vAlign w:val="center"/>
          </w:tcPr>
          <w:p w14:paraId="38562EF9">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汉仪中秀体简" w:hAnsi="汉仪中秀体简" w:eastAsia="汉仪中秀体简" w:cs="汉仪中秀体简"/>
                <w:i w:val="0"/>
                <w:iCs w:val="0"/>
                <w:color w:val="000000"/>
                <w:kern w:val="0"/>
                <w:sz w:val="20"/>
                <w:szCs w:val="20"/>
                <w:u w:val="none"/>
                <w:lang w:val="en-US" w:eastAsia="zh-CN" w:bidi="ar"/>
              </w:rPr>
              <w:t>开设专业</w:t>
            </w:r>
          </w:p>
        </w:tc>
        <w:tc>
          <w:tcPr>
            <w:tcW w:w="4235" w:type="dxa"/>
            <w:gridSpan w:val="2"/>
            <w:tcBorders>
              <w:tl2br w:val="nil"/>
              <w:tr2bl w:val="nil"/>
            </w:tcBorders>
            <w:vAlign w:val="center"/>
          </w:tcPr>
          <w:p w14:paraId="56F0E2AA">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≥2个</w:t>
            </w:r>
          </w:p>
        </w:tc>
      </w:tr>
      <w:tr w14:paraId="1A3D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55A7677D">
            <w:pPr>
              <w:jc w:val="center"/>
              <w:rPr>
                <w:rFonts w:hint="default" w:ascii="Times New Roman" w:hAnsi="Times New Roman" w:cs="Times New Roman"/>
                <w:sz w:val="20"/>
              </w:rPr>
            </w:pPr>
          </w:p>
        </w:tc>
        <w:tc>
          <w:tcPr>
            <w:tcW w:w="612" w:type="dxa"/>
            <w:vMerge w:val="continue"/>
            <w:tcBorders>
              <w:tl2br w:val="nil"/>
              <w:tr2bl w:val="nil"/>
            </w:tcBorders>
            <w:vAlign w:val="center"/>
          </w:tcPr>
          <w:p w14:paraId="1AAEEA07">
            <w:pPr>
              <w:jc w:val="center"/>
              <w:rPr>
                <w:rFonts w:hint="default" w:ascii="Times New Roman" w:hAnsi="Times New Roman" w:cs="Times New Roman"/>
                <w:sz w:val="20"/>
              </w:rPr>
            </w:pPr>
          </w:p>
        </w:tc>
        <w:tc>
          <w:tcPr>
            <w:tcW w:w="1517" w:type="dxa"/>
            <w:gridSpan w:val="2"/>
            <w:vMerge w:val="restart"/>
            <w:tcBorders>
              <w:tl2br w:val="nil"/>
              <w:tr2bl w:val="nil"/>
            </w:tcBorders>
            <w:vAlign w:val="center"/>
          </w:tcPr>
          <w:p w14:paraId="1B9FBE5D">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质量指标</w:t>
            </w:r>
          </w:p>
        </w:tc>
        <w:tc>
          <w:tcPr>
            <w:tcW w:w="2241" w:type="dxa"/>
            <w:tcBorders>
              <w:tl2br w:val="nil"/>
              <w:tr2bl w:val="nil"/>
            </w:tcBorders>
            <w:vAlign w:val="center"/>
          </w:tcPr>
          <w:p w14:paraId="537041FC">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35" w:type="dxa"/>
            <w:gridSpan w:val="2"/>
            <w:tcBorders>
              <w:tl2br w:val="nil"/>
              <w:tr2bl w:val="nil"/>
            </w:tcBorders>
            <w:vAlign w:val="center"/>
          </w:tcPr>
          <w:p w14:paraId="4CD09FC3">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合规</w:t>
            </w:r>
          </w:p>
        </w:tc>
      </w:tr>
      <w:tr w14:paraId="4F8D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14ED5A86">
            <w:pPr>
              <w:jc w:val="center"/>
              <w:rPr>
                <w:rFonts w:hint="default" w:ascii="Times New Roman" w:hAnsi="Times New Roman" w:cs="Times New Roman"/>
                <w:sz w:val="20"/>
              </w:rPr>
            </w:pPr>
          </w:p>
        </w:tc>
        <w:tc>
          <w:tcPr>
            <w:tcW w:w="612" w:type="dxa"/>
            <w:vMerge w:val="continue"/>
            <w:tcBorders>
              <w:tl2br w:val="nil"/>
              <w:tr2bl w:val="nil"/>
            </w:tcBorders>
            <w:vAlign w:val="center"/>
          </w:tcPr>
          <w:p w14:paraId="44EA6DCA">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5A9A7862">
            <w:pPr>
              <w:jc w:val="center"/>
              <w:rPr>
                <w:rFonts w:hint="default" w:ascii="Times New Roman" w:hAnsi="Times New Roman" w:cs="Times New Roman"/>
                <w:sz w:val="20"/>
              </w:rPr>
            </w:pPr>
          </w:p>
        </w:tc>
        <w:tc>
          <w:tcPr>
            <w:tcW w:w="2241" w:type="dxa"/>
            <w:tcBorders>
              <w:tl2br w:val="nil"/>
              <w:tr2bl w:val="nil"/>
            </w:tcBorders>
            <w:vAlign w:val="center"/>
          </w:tcPr>
          <w:p w14:paraId="17D276A9">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培训出勤率</w:t>
            </w:r>
          </w:p>
        </w:tc>
        <w:tc>
          <w:tcPr>
            <w:tcW w:w="4235" w:type="dxa"/>
            <w:gridSpan w:val="2"/>
            <w:tcBorders>
              <w:tl2br w:val="nil"/>
              <w:tr2bl w:val="nil"/>
            </w:tcBorders>
            <w:vAlign w:val="center"/>
          </w:tcPr>
          <w:p w14:paraId="400BF4D4">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w:t>
            </w:r>
          </w:p>
        </w:tc>
      </w:tr>
      <w:tr w14:paraId="43A7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328E0D0E">
            <w:pPr>
              <w:jc w:val="center"/>
              <w:rPr>
                <w:rFonts w:hint="default" w:ascii="Times New Roman" w:hAnsi="Times New Roman" w:cs="Times New Roman"/>
                <w:sz w:val="20"/>
              </w:rPr>
            </w:pPr>
          </w:p>
        </w:tc>
        <w:tc>
          <w:tcPr>
            <w:tcW w:w="612" w:type="dxa"/>
            <w:vMerge w:val="continue"/>
            <w:tcBorders>
              <w:tl2br w:val="nil"/>
              <w:tr2bl w:val="nil"/>
            </w:tcBorders>
            <w:vAlign w:val="center"/>
          </w:tcPr>
          <w:p w14:paraId="09586B05">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23885FF6">
            <w:pPr>
              <w:jc w:val="center"/>
              <w:rPr>
                <w:rFonts w:hint="default" w:ascii="Times New Roman" w:hAnsi="Times New Roman" w:cs="Times New Roman"/>
                <w:sz w:val="20"/>
              </w:rPr>
            </w:pPr>
          </w:p>
        </w:tc>
        <w:tc>
          <w:tcPr>
            <w:tcW w:w="2241" w:type="dxa"/>
            <w:tcBorders>
              <w:tl2br w:val="nil"/>
              <w:tr2bl w:val="nil"/>
            </w:tcBorders>
            <w:vAlign w:val="center"/>
          </w:tcPr>
          <w:p w14:paraId="7BCB89E4">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培训标准符合规定</w:t>
            </w:r>
          </w:p>
        </w:tc>
        <w:tc>
          <w:tcPr>
            <w:tcW w:w="4235" w:type="dxa"/>
            <w:gridSpan w:val="2"/>
            <w:tcBorders>
              <w:tl2br w:val="nil"/>
              <w:tr2bl w:val="nil"/>
            </w:tcBorders>
            <w:vAlign w:val="center"/>
          </w:tcPr>
          <w:p w14:paraId="1B20BBA3">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合规</w:t>
            </w:r>
          </w:p>
        </w:tc>
      </w:tr>
      <w:tr w14:paraId="7D57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187B12B1">
            <w:pPr>
              <w:jc w:val="center"/>
              <w:rPr>
                <w:rFonts w:hint="default" w:ascii="Times New Roman" w:hAnsi="Times New Roman" w:cs="Times New Roman"/>
                <w:sz w:val="20"/>
              </w:rPr>
            </w:pPr>
          </w:p>
        </w:tc>
        <w:tc>
          <w:tcPr>
            <w:tcW w:w="612" w:type="dxa"/>
            <w:vMerge w:val="continue"/>
            <w:tcBorders>
              <w:tl2br w:val="nil"/>
              <w:tr2bl w:val="nil"/>
            </w:tcBorders>
            <w:vAlign w:val="center"/>
          </w:tcPr>
          <w:p w14:paraId="3DEAE820">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5FAC86ED">
            <w:pPr>
              <w:jc w:val="center"/>
              <w:rPr>
                <w:rFonts w:hint="default" w:ascii="Times New Roman" w:hAnsi="Times New Roman" w:cs="Times New Roman"/>
                <w:sz w:val="20"/>
              </w:rPr>
            </w:pPr>
          </w:p>
        </w:tc>
        <w:tc>
          <w:tcPr>
            <w:tcW w:w="2241" w:type="dxa"/>
            <w:tcBorders>
              <w:tl2br w:val="nil"/>
              <w:tr2bl w:val="nil"/>
            </w:tcBorders>
            <w:vAlign w:val="center"/>
          </w:tcPr>
          <w:p w14:paraId="10C987FF">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汉仪中秀体简" w:hAnsi="汉仪中秀体简" w:eastAsia="汉仪中秀体简" w:cs="汉仪中秀体简"/>
                <w:i w:val="0"/>
                <w:iCs w:val="0"/>
                <w:color w:val="000000"/>
                <w:kern w:val="0"/>
                <w:sz w:val="20"/>
                <w:szCs w:val="20"/>
                <w:u w:val="none"/>
                <w:lang w:val="en-US" w:eastAsia="zh-CN" w:bidi="ar"/>
              </w:rPr>
              <w:t>培训考试通过率</w:t>
            </w:r>
          </w:p>
        </w:tc>
        <w:tc>
          <w:tcPr>
            <w:tcW w:w="4235" w:type="dxa"/>
            <w:gridSpan w:val="2"/>
            <w:tcBorders>
              <w:tl2br w:val="nil"/>
              <w:tr2bl w:val="nil"/>
            </w:tcBorders>
            <w:vAlign w:val="center"/>
          </w:tcPr>
          <w:p w14:paraId="4F802074">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w:t>
            </w:r>
          </w:p>
        </w:tc>
      </w:tr>
      <w:tr w14:paraId="1169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595153A0">
            <w:pPr>
              <w:jc w:val="center"/>
              <w:rPr>
                <w:rFonts w:hint="default" w:ascii="Times New Roman" w:hAnsi="Times New Roman" w:cs="Times New Roman"/>
                <w:sz w:val="20"/>
              </w:rPr>
            </w:pPr>
          </w:p>
        </w:tc>
        <w:tc>
          <w:tcPr>
            <w:tcW w:w="612" w:type="dxa"/>
            <w:vMerge w:val="continue"/>
            <w:tcBorders>
              <w:tl2br w:val="nil"/>
              <w:tr2bl w:val="nil"/>
            </w:tcBorders>
            <w:vAlign w:val="center"/>
          </w:tcPr>
          <w:p w14:paraId="4F5FB1F4">
            <w:pPr>
              <w:jc w:val="center"/>
              <w:rPr>
                <w:rFonts w:hint="default" w:ascii="Times New Roman" w:hAnsi="Times New Roman" w:cs="Times New Roman"/>
                <w:sz w:val="20"/>
              </w:rPr>
            </w:pPr>
          </w:p>
        </w:tc>
        <w:tc>
          <w:tcPr>
            <w:tcW w:w="1517" w:type="dxa"/>
            <w:gridSpan w:val="2"/>
            <w:tcBorders>
              <w:tl2br w:val="nil"/>
              <w:tr2bl w:val="nil"/>
            </w:tcBorders>
            <w:vAlign w:val="center"/>
          </w:tcPr>
          <w:p w14:paraId="09855FE5">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时效指标</w:t>
            </w:r>
          </w:p>
        </w:tc>
        <w:tc>
          <w:tcPr>
            <w:tcW w:w="2241" w:type="dxa"/>
            <w:tcBorders>
              <w:tl2br w:val="nil"/>
              <w:tr2bl w:val="nil"/>
            </w:tcBorders>
            <w:vAlign w:val="center"/>
          </w:tcPr>
          <w:p w14:paraId="73D777AE">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培训完成时间</w:t>
            </w:r>
          </w:p>
        </w:tc>
        <w:tc>
          <w:tcPr>
            <w:tcW w:w="4235" w:type="dxa"/>
            <w:gridSpan w:val="2"/>
            <w:tcBorders>
              <w:tl2br w:val="nil"/>
              <w:tr2bl w:val="nil"/>
            </w:tcBorders>
            <w:vAlign w:val="center"/>
          </w:tcPr>
          <w:p w14:paraId="4E99F2EC">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12月</w:t>
            </w:r>
          </w:p>
        </w:tc>
      </w:tr>
      <w:tr w14:paraId="66C7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62539BED">
            <w:pPr>
              <w:jc w:val="center"/>
              <w:rPr>
                <w:rFonts w:hint="default" w:ascii="Times New Roman" w:hAnsi="Times New Roman" w:cs="Times New Roman"/>
                <w:sz w:val="20"/>
              </w:rPr>
            </w:pPr>
          </w:p>
        </w:tc>
        <w:tc>
          <w:tcPr>
            <w:tcW w:w="612" w:type="dxa"/>
            <w:vMerge w:val="continue"/>
            <w:tcBorders>
              <w:tl2br w:val="nil"/>
              <w:tr2bl w:val="nil"/>
            </w:tcBorders>
            <w:vAlign w:val="center"/>
          </w:tcPr>
          <w:p w14:paraId="5F2335AB">
            <w:pPr>
              <w:jc w:val="center"/>
              <w:rPr>
                <w:rFonts w:hint="default" w:ascii="Times New Roman" w:hAnsi="Times New Roman" w:cs="Times New Roman"/>
                <w:sz w:val="20"/>
              </w:rPr>
            </w:pPr>
          </w:p>
        </w:tc>
        <w:tc>
          <w:tcPr>
            <w:tcW w:w="1517" w:type="dxa"/>
            <w:gridSpan w:val="2"/>
            <w:tcBorders>
              <w:tl2br w:val="nil"/>
              <w:tr2bl w:val="nil"/>
            </w:tcBorders>
            <w:vAlign w:val="center"/>
          </w:tcPr>
          <w:p w14:paraId="368E79BB">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成本指标</w:t>
            </w:r>
          </w:p>
        </w:tc>
        <w:tc>
          <w:tcPr>
            <w:tcW w:w="2241" w:type="dxa"/>
            <w:tcBorders>
              <w:tl2br w:val="nil"/>
              <w:tr2bl w:val="nil"/>
            </w:tcBorders>
            <w:vAlign w:val="center"/>
          </w:tcPr>
          <w:p w14:paraId="238CC7DC">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项目单位成本</w:t>
            </w:r>
          </w:p>
        </w:tc>
        <w:tc>
          <w:tcPr>
            <w:tcW w:w="4235" w:type="dxa"/>
            <w:gridSpan w:val="2"/>
            <w:tcBorders>
              <w:tl2br w:val="nil"/>
              <w:tr2bl w:val="nil"/>
            </w:tcBorders>
            <w:vAlign w:val="center"/>
          </w:tcPr>
          <w:p w14:paraId="6627C337">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≤9000元/人</w:t>
            </w:r>
          </w:p>
        </w:tc>
      </w:tr>
      <w:tr w14:paraId="27BB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43F5D4E2">
            <w:pPr>
              <w:jc w:val="center"/>
              <w:rPr>
                <w:rFonts w:hint="default" w:ascii="Times New Roman" w:hAnsi="Times New Roman" w:cs="Times New Roman"/>
                <w:sz w:val="20"/>
              </w:rPr>
            </w:pPr>
          </w:p>
        </w:tc>
        <w:tc>
          <w:tcPr>
            <w:tcW w:w="612" w:type="dxa"/>
            <w:vMerge w:val="restart"/>
            <w:tcBorders>
              <w:tl2br w:val="nil"/>
              <w:tr2bl w:val="nil"/>
            </w:tcBorders>
            <w:vAlign w:val="center"/>
          </w:tcPr>
          <w:p w14:paraId="43410C04">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效益指标</w:t>
            </w:r>
          </w:p>
        </w:tc>
        <w:tc>
          <w:tcPr>
            <w:tcW w:w="1517" w:type="dxa"/>
            <w:gridSpan w:val="2"/>
            <w:tcBorders>
              <w:tl2br w:val="nil"/>
              <w:tr2bl w:val="nil"/>
            </w:tcBorders>
            <w:vAlign w:val="center"/>
          </w:tcPr>
          <w:p w14:paraId="1965ECA8">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2241" w:type="dxa"/>
            <w:tcBorders>
              <w:tl2br w:val="nil"/>
              <w:tr2bl w:val="nil"/>
            </w:tcBorders>
            <w:vAlign w:val="center"/>
          </w:tcPr>
          <w:p w14:paraId="702A94F7">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培训学费</w:t>
            </w:r>
          </w:p>
        </w:tc>
        <w:tc>
          <w:tcPr>
            <w:tcW w:w="4235" w:type="dxa"/>
            <w:gridSpan w:val="2"/>
            <w:tcBorders>
              <w:tl2br w:val="nil"/>
              <w:tr2bl w:val="nil"/>
            </w:tcBorders>
            <w:vAlign w:val="center"/>
          </w:tcPr>
          <w:p w14:paraId="597CCFDC">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≤10000元/人</w:t>
            </w:r>
          </w:p>
        </w:tc>
      </w:tr>
      <w:tr w14:paraId="2012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414BA8E1">
            <w:pPr>
              <w:jc w:val="center"/>
              <w:rPr>
                <w:rFonts w:hint="default" w:ascii="Times New Roman" w:hAnsi="Times New Roman" w:cs="Times New Roman"/>
                <w:sz w:val="20"/>
              </w:rPr>
            </w:pPr>
          </w:p>
        </w:tc>
        <w:tc>
          <w:tcPr>
            <w:tcW w:w="612" w:type="dxa"/>
            <w:vMerge w:val="continue"/>
            <w:tcBorders>
              <w:tl2br w:val="nil"/>
              <w:tr2bl w:val="nil"/>
            </w:tcBorders>
            <w:vAlign w:val="center"/>
          </w:tcPr>
          <w:p w14:paraId="664FA159">
            <w:pPr>
              <w:jc w:val="center"/>
              <w:rPr>
                <w:rFonts w:hint="default" w:ascii="Times New Roman" w:hAnsi="Times New Roman" w:cs="Times New Roman"/>
                <w:sz w:val="20"/>
              </w:rPr>
            </w:pPr>
          </w:p>
        </w:tc>
        <w:tc>
          <w:tcPr>
            <w:tcW w:w="1517" w:type="dxa"/>
            <w:gridSpan w:val="2"/>
            <w:vMerge w:val="restart"/>
            <w:tcBorders>
              <w:tl2br w:val="nil"/>
              <w:tr2bl w:val="nil"/>
            </w:tcBorders>
            <w:vAlign w:val="center"/>
          </w:tcPr>
          <w:p w14:paraId="3AB0317B">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2241" w:type="dxa"/>
            <w:tcBorders>
              <w:tl2br w:val="nil"/>
              <w:tr2bl w:val="nil"/>
            </w:tcBorders>
            <w:vAlign w:val="center"/>
          </w:tcPr>
          <w:p w14:paraId="48BD84C3">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对单位履职、促进事业发展的影响或提升程度</w:t>
            </w:r>
          </w:p>
        </w:tc>
        <w:tc>
          <w:tcPr>
            <w:tcW w:w="4235" w:type="dxa"/>
            <w:gridSpan w:val="2"/>
            <w:tcBorders>
              <w:tl2br w:val="nil"/>
              <w:tr2bl w:val="nil"/>
            </w:tcBorders>
            <w:vAlign w:val="center"/>
          </w:tcPr>
          <w:p w14:paraId="5675D7BB">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10E1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7C40DBFB">
            <w:pPr>
              <w:jc w:val="center"/>
              <w:rPr>
                <w:rFonts w:hint="default" w:ascii="Times New Roman" w:hAnsi="Times New Roman" w:cs="Times New Roman"/>
                <w:sz w:val="20"/>
              </w:rPr>
            </w:pPr>
          </w:p>
        </w:tc>
        <w:tc>
          <w:tcPr>
            <w:tcW w:w="612" w:type="dxa"/>
            <w:vMerge w:val="continue"/>
            <w:tcBorders>
              <w:tl2br w:val="nil"/>
              <w:tr2bl w:val="nil"/>
            </w:tcBorders>
            <w:vAlign w:val="center"/>
          </w:tcPr>
          <w:p w14:paraId="3C5C5297">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6CC17D93">
            <w:pPr>
              <w:jc w:val="center"/>
              <w:rPr>
                <w:rFonts w:hint="default" w:ascii="Times New Roman" w:hAnsi="Times New Roman" w:cs="Times New Roman"/>
                <w:sz w:val="20"/>
              </w:rPr>
            </w:pPr>
          </w:p>
        </w:tc>
        <w:tc>
          <w:tcPr>
            <w:tcW w:w="2241" w:type="dxa"/>
            <w:tcBorders>
              <w:tl2br w:val="nil"/>
              <w:tr2bl w:val="nil"/>
            </w:tcBorders>
            <w:vAlign w:val="center"/>
          </w:tcPr>
          <w:p w14:paraId="62625C81">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对培训人员综合素质的改善或提升程度</w:t>
            </w:r>
          </w:p>
        </w:tc>
        <w:tc>
          <w:tcPr>
            <w:tcW w:w="4235" w:type="dxa"/>
            <w:gridSpan w:val="2"/>
            <w:tcBorders>
              <w:tl2br w:val="nil"/>
              <w:tr2bl w:val="nil"/>
            </w:tcBorders>
            <w:vAlign w:val="center"/>
          </w:tcPr>
          <w:p w14:paraId="24F8C883">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5B11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025C0452">
            <w:pPr>
              <w:jc w:val="center"/>
              <w:rPr>
                <w:rFonts w:hint="default" w:ascii="Times New Roman" w:hAnsi="Times New Roman" w:cs="Times New Roman"/>
                <w:sz w:val="20"/>
              </w:rPr>
            </w:pPr>
          </w:p>
        </w:tc>
        <w:tc>
          <w:tcPr>
            <w:tcW w:w="612" w:type="dxa"/>
            <w:vMerge w:val="continue"/>
            <w:tcBorders>
              <w:tl2br w:val="nil"/>
              <w:tr2bl w:val="nil"/>
            </w:tcBorders>
            <w:vAlign w:val="center"/>
          </w:tcPr>
          <w:p w14:paraId="4FCC6734">
            <w:pPr>
              <w:jc w:val="center"/>
              <w:rPr>
                <w:rFonts w:hint="default" w:ascii="Times New Roman" w:hAnsi="Times New Roman" w:cs="Times New Roman"/>
                <w:sz w:val="20"/>
              </w:rPr>
            </w:pPr>
          </w:p>
        </w:tc>
        <w:tc>
          <w:tcPr>
            <w:tcW w:w="1517" w:type="dxa"/>
            <w:gridSpan w:val="2"/>
            <w:vMerge w:val="continue"/>
            <w:tcBorders>
              <w:tl2br w:val="nil"/>
              <w:tr2bl w:val="nil"/>
            </w:tcBorders>
            <w:vAlign w:val="center"/>
          </w:tcPr>
          <w:p w14:paraId="2CE3BD8A">
            <w:pPr>
              <w:jc w:val="center"/>
              <w:rPr>
                <w:rFonts w:hint="default" w:ascii="Times New Roman" w:hAnsi="Times New Roman" w:cs="Times New Roman"/>
                <w:sz w:val="20"/>
              </w:rPr>
            </w:pPr>
          </w:p>
        </w:tc>
        <w:tc>
          <w:tcPr>
            <w:tcW w:w="2241" w:type="dxa"/>
            <w:tcBorders>
              <w:tl2br w:val="nil"/>
              <w:tr2bl w:val="nil"/>
            </w:tcBorders>
            <w:vAlign w:val="center"/>
          </w:tcPr>
          <w:p w14:paraId="0F43704C">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汉仪中秀体简" w:hAnsi="汉仪中秀体简" w:eastAsia="汉仪中秀体简" w:cs="汉仪中秀体简"/>
                <w:i w:val="0"/>
                <w:iCs w:val="0"/>
                <w:color w:val="000000"/>
                <w:kern w:val="0"/>
                <w:sz w:val="20"/>
                <w:szCs w:val="20"/>
                <w:u w:val="none"/>
                <w:lang w:val="en-US" w:eastAsia="zh-CN" w:bidi="ar"/>
              </w:rPr>
              <w:t>对单位人才梯队建设的影响或提升程度</w:t>
            </w:r>
          </w:p>
        </w:tc>
        <w:tc>
          <w:tcPr>
            <w:tcW w:w="4235" w:type="dxa"/>
            <w:gridSpan w:val="2"/>
            <w:tcBorders>
              <w:tl2br w:val="nil"/>
              <w:tr2bl w:val="nil"/>
            </w:tcBorders>
            <w:vAlign w:val="center"/>
          </w:tcPr>
          <w:p w14:paraId="7991CBB4">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008B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5" w:type="dxa"/>
            <w:vMerge w:val="continue"/>
            <w:tcBorders>
              <w:tl2br w:val="nil"/>
              <w:tr2bl w:val="nil"/>
            </w:tcBorders>
            <w:vAlign w:val="center"/>
          </w:tcPr>
          <w:p w14:paraId="6CAAD232">
            <w:pPr>
              <w:jc w:val="center"/>
              <w:rPr>
                <w:rFonts w:hint="default" w:ascii="Times New Roman" w:hAnsi="Times New Roman" w:cs="Times New Roman"/>
                <w:sz w:val="20"/>
              </w:rPr>
            </w:pPr>
          </w:p>
        </w:tc>
        <w:tc>
          <w:tcPr>
            <w:tcW w:w="612" w:type="dxa"/>
            <w:vMerge w:val="continue"/>
            <w:tcBorders>
              <w:tl2br w:val="nil"/>
              <w:tr2bl w:val="nil"/>
            </w:tcBorders>
            <w:vAlign w:val="center"/>
          </w:tcPr>
          <w:p w14:paraId="48DA97FB">
            <w:pPr>
              <w:jc w:val="center"/>
              <w:rPr>
                <w:rFonts w:hint="default" w:ascii="Times New Roman" w:hAnsi="Times New Roman" w:cs="Times New Roman"/>
                <w:sz w:val="20"/>
              </w:rPr>
            </w:pPr>
          </w:p>
        </w:tc>
        <w:tc>
          <w:tcPr>
            <w:tcW w:w="1517" w:type="dxa"/>
            <w:gridSpan w:val="2"/>
            <w:tcBorders>
              <w:tl2br w:val="nil"/>
              <w:tr2bl w:val="nil"/>
            </w:tcBorders>
            <w:vAlign w:val="center"/>
          </w:tcPr>
          <w:p w14:paraId="08A8F7C8">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1" w:type="dxa"/>
            <w:tcBorders>
              <w:tl2br w:val="nil"/>
              <w:tr2bl w:val="nil"/>
            </w:tcBorders>
            <w:vAlign w:val="center"/>
          </w:tcPr>
          <w:p w14:paraId="0C043198">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对生态意识的影响程度</w:t>
            </w:r>
          </w:p>
        </w:tc>
        <w:tc>
          <w:tcPr>
            <w:tcW w:w="4235" w:type="dxa"/>
            <w:gridSpan w:val="2"/>
            <w:tcBorders>
              <w:tl2br w:val="nil"/>
              <w:tr2bl w:val="nil"/>
            </w:tcBorders>
            <w:vAlign w:val="center"/>
          </w:tcPr>
          <w:p w14:paraId="37DC46DB">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0592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15" w:type="dxa"/>
            <w:vMerge w:val="continue"/>
            <w:tcBorders>
              <w:tl2br w:val="nil"/>
              <w:tr2bl w:val="nil"/>
            </w:tcBorders>
            <w:vAlign w:val="center"/>
          </w:tcPr>
          <w:p w14:paraId="13E56CCC">
            <w:pPr>
              <w:jc w:val="center"/>
              <w:rPr>
                <w:rFonts w:hint="default" w:ascii="Times New Roman" w:hAnsi="Times New Roman" w:cs="Times New Roman"/>
                <w:sz w:val="20"/>
              </w:rPr>
            </w:pPr>
          </w:p>
        </w:tc>
        <w:tc>
          <w:tcPr>
            <w:tcW w:w="612" w:type="dxa"/>
            <w:vMerge w:val="continue"/>
            <w:tcBorders>
              <w:tl2br w:val="nil"/>
              <w:tr2bl w:val="nil"/>
            </w:tcBorders>
            <w:vAlign w:val="center"/>
          </w:tcPr>
          <w:p w14:paraId="19C75C66">
            <w:pPr>
              <w:jc w:val="center"/>
              <w:rPr>
                <w:rFonts w:hint="default" w:ascii="Times New Roman" w:hAnsi="Times New Roman" w:cs="Times New Roman"/>
                <w:sz w:val="20"/>
              </w:rPr>
            </w:pPr>
          </w:p>
        </w:tc>
        <w:tc>
          <w:tcPr>
            <w:tcW w:w="1517" w:type="dxa"/>
            <w:gridSpan w:val="2"/>
            <w:tcBorders>
              <w:tl2br w:val="nil"/>
              <w:tr2bl w:val="nil"/>
            </w:tcBorders>
            <w:vAlign w:val="center"/>
          </w:tcPr>
          <w:p w14:paraId="67CE20DC">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1" w:type="dxa"/>
            <w:tcBorders>
              <w:tl2br w:val="nil"/>
              <w:tr2bl w:val="nil"/>
            </w:tcBorders>
            <w:vAlign w:val="center"/>
          </w:tcPr>
          <w:p w14:paraId="33428AFF">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对单位履职、促进事业发展的持续影响程度</w:t>
            </w:r>
          </w:p>
        </w:tc>
        <w:tc>
          <w:tcPr>
            <w:tcW w:w="4235" w:type="dxa"/>
            <w:gridSpan w:val="2"/>
            <w:tcBorders>
              <w:tl2br w:val="nil"/>
              <w:tr2bl w:val="nil"/>
            </w:tcBorders>
            <w:vAlign w:val="center"/>
          </w:tcPr>
          <w:p w14:paraId="130DB50B">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较好</w:t>
            </w:r>
          </w:p>
        </w:tc>
      </w:tr>
      <w:tr w14:paraId="4DF5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 w:type="dxa"/>
            <w:vMerge w:val="continue"/>
            <w:tcBorders>
              <w:tl2br w:val="nil"/>
              <w:tr2bl w:val="nil"/>
            </w:tcBorders>
            <w:vAlign w:val="center"/>
          </w:tcPr>
          <w:p w14:paraId="681AD92F">
            <w:pPr>
              <w:jc w:val="center"/>
              <w:rPr>
                <w:rFonts w:hint="default" w:ascii="Times New Roman" w:hAnsi="Times New Roman" w:cs="Times New Roman"/>
                <w:sz w:val="20"/>
              </w:rPr>
            </w:pPr>
          </w:p>
        </w:tc>
        <w:tc>
          <w:tcPr>
            <w:tcW w:w="612" w:type="dxa"/>
            <w:tcBorders>
              <w:tl2br w:val="nil"/>
              <w:tr2bl w:val="nil"/>
            </w:tcBorders>
            <w:vAlign w:val="center"/>
          </w:tcPr>
          <w:p w14:paraId="5D34EBAF">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517" w:type="dxa"/>
            <w:gridSpan w:val="2"/>
            <w:tcBorders>
              <w:tl2br w:val="nil"/>
              <w:tr2bl w:val="nil"/>
            </w:tcBorders>
            <w:vAlign w:val="center"/>
          </w:tcPr>
          <w:p w14:paraId="2EFE738B">
            <w:pPr>
              <w:keepNext w:val="0"/>
              <w:keepLines w:val="0"/>
              <w:widowControl/>
              <w:suppressLineNumbers w:val="0"/>
              <w:jc w:val="center"/>
              <w:textAlignment w:val="center"/>
              <w:rPr>
                <w:rFonts w:hint="default" w:ascii="Times New Roman" w:hAnsi="Times New Roman" w:cs="Times New Roman"/>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1" w:type="dxa"/>
            <w:tcBorders>
              <w:tl2br w:val="nil"/>
              <w:tr2bl w:val="nil"/>
            </w:tcBorders>
            <w:vAlign w:val="center"/>
          </w:tcPr>
          <w:p w14:paraId="13676691">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受训学员满意度</w:t>
            </w:r>
          </w:p>
        </w:tc>
        <w:tc>
          <w:tcPr>
            <w:tcW w:w="4235" w:type="dxa"/>
            <w:gridSpan w:val="2"/>
            <w:tcBorders>
              <w:tl2br w:val="nil"/>
              <w:tr2bl w:val="nil"/>
            </w:tcBorders>
            <w:vAlign w:val="center"/>
          </w:tcPr>
          <w:p w14:paraId="5754A999">
            <w:pPr>
              <w:keepNext w:val="0"/>
              <w:keepLines w:val="0"/>
              <w:widowControl/>
              <w:suppressLineNumbers w:val="0"/>
              <w:jc w:val="center"/>
              <w:textAlignment w:val="center"/>
              <w:rPr>
                <w:rFonts w:hint="default" w:ascii="Times New Roman" w:hAnsi="Times New Roman" w:cs="Times New Roman"/>
              </w:rPr>
            </w:pPr>
            <w:r>
              <w:rPr>
                <w:rFonts w:hint="eastAsia" w:ascii="宋体" w:hAnsi="宋体" w:eastAsia="宋体" w:cs="宋体"/>
                <w:i w:val="0"/>
                <w:iCs w:val="0"/>
                <w:color w:val="000000"/>
                <w:kern w:val="0"/>
                <w:sz w:val="20"/>
                <w:szCs w:val="20"/>
                <w:u w:val="none"/>
                <w:lang w:val="en-US" w:eastAsia="zh-CN" w:bidi="ar"/>
              </w:rPr>
              <w:t>≥90%</w:t>
            </w:r>
          </w:p>
        </w:tc>
      </w:tr>
    </w:tbl>
    <w:p w14:paraId="2BC01A1C">
      <w:pPr>
        <w:rPr>
          <w:rFonts w:hint="default" w:ascii="Times New Roman" w:hAnsi="Times New Roman" w:cs="Times New Roman"/>
        </w:rPr>
      </w:pPr>
    </w:p>
    <w:p w14:paraId="4791BEC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（二）机关运行经费。</w:t>
      </w:r>
    </w:p>
    <w:p w14:paraId="43F0EF8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机关运行经费财政拨款预算</w:t>
      </w:r>
      <w:r>
        <w:rPr>
          <w:rFonts w:hint="eastAsia" w:ascii="Times New Roman" w:hAnsi="Times New Roman" w:eastAsia="仿宋_GB2312" w:cs="Times New Roman"/>
          <w:kern w:val="0"/>
          <w:sz w:val="32"/>
          <w:szCs w:val="32"/>
          <w:lang w:val="en-US" w:eastAsia="zh-CN"/>
        </w:rPr>
        <w:t>126.6</w:t>
      </w:r>
      <w:r>
        <w:rPr>
          <w:rFonts w:hint="default"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0.79</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降低</w:t>
      </w:r>
      <w:r>
        <w:rPr>
          <w:rFonts w:hint="eastAsia" w:ascii="Times New Roman" w:hAnsi="Times New Roman" w:eastAsia="仿宋_GB2312" w:cs="Times New Roman"/>
          <w:kern w:val="0"/>
          <w:sz w:val="32"/>
          <w:szCs w:val="32"/>
          <w:lang w:val="en-US" w:eastAsia="zh-CN"/>
        </w:rPr>
        <w:t>0.62</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在职员工</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kern w:val="0"/>
          <w:sz w:val="32"/>
          <w:szCs w:val="32"/>
        </w:rPr>
        <w:t>。</w:t>
      </w:r>
    </w:p>
    <w:p w14:paraId="2CF2917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（三）政府采购情况。</w:t>
      </w:r>
    </w:p>
    <w:p w14:paraId="1D5224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政府采购预算</w:t>
      </w:r>
      <w:r>
        <w:rPr>
          <w:rFonts w:hint="eastAsia" w:ascii="Times New Roman" w:hAnsi="Times New Roman" w:eastAsia="仿宋_GB2312" w:cs="Times New Roman"/>
          <w:kern w:val="0"/>
          <w:sz w:val="32"/>
          <w:szCs w:val="32"/>
          <w:lang w:val="en-US" w:eastAsia="zh-CN"/>
        </w:rPr>
        <w:t>446.89</w:t>
      </w:r>
      <w:r>
        <w:rPr>
          <w:rFonts w:hint="default" w:ascii="Times New Roman" w:hAnsi="Times New Roman" w:eastAsia="仿宋_GB2312" w:cs="Times New Roman"/>
          <w:kern w:val="0"/>
          <w:sz w:val="32"/>
          <w:szCs w:val="32"/>
        </w:rPr>
        <w:t>万元。其中：政府采购货物预算</w:t>
      </w:r>
      <w:r>
        <w:rPr>
          <w:rFonts w:hint="eastAsia" w:ascii="Times New Roman" w:hAnsi="Times New Roman" w:eastAsia="仿宋_GB2312" w:cs="Times New Roman"/>
          <w:kern w:val="0"/>
          <w:sz w:val="32"/>
          <w:szCs w:val="32"/>
          <w:lang w:val="en-US" w:eastAsia="zh-CN"/>
        </w:rPr>
        <w:t>147</w:t>
      </w:r>
      <w:r>
        <w:rPr>
          <w:rFonts w:hint="default" w:ascii="Times New Roman" w:hAnsi="Times New Roman" w:eastAsia="仿宋_GB2312" w:cs="Times New Roman"/>
          <w:kern w:val="0"/>
          <w:sz w:val="32"/>
          <w:szCs w:val="32"/>
        </w:rPr>
        <w:t>万元，政府采购工程预算0万元，政府采购服务预算2</w:t>
      </w:r>
      <w:r>
        <w:rPr>
          <w:rFonts w:hint="eastAsia" w:ascii="Times New Roman" w:hAnsi="Times New Roman" w:eastAsia="仿宋_GB2312" w:cs="Times New Roman"/>
          <w:kern w:val="0"/>
          <w:sz w:val="32"/>
          <w:szCs w:val="32"/>
          <w:lang w:val="en-US" w:eastAsia="zh-CN"/>
        </w:rPr>
        <w:t>99.89</w:t>
      </w:r>
      <w:r>
        <w:rPr>
          <w:rFonts w:hint="default" w:ascii="Times New Roman" w:hAnsi="Times New Roman" w:eastAsia="仿宋_GB2312" w:cs="Times New Roman"/>
          <w:kern w:val="0"/>
          <w:sz w:val="32"/>
          <w:szCs w:val="32"/>
        </w:rPr>
        <w:t>万元。</w:t>
      </w:r>
    </w:p>
    <w:p w14:paraId="09E9ADB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（四）国有资产占有使用情况。</w:t>
      </w:r>
    </w:p>
    <w:p w14:paraId="1CDF42B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年12月31日，淮北市委党校共有车辆0辆</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单价50万元以上的通用设备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台（套）。</w:t>
      </w:r>
    </w:p>
    <w:p w14:paraId="6D747FF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部门预算安排购置公务用车0辆，购置费0万元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安排购置单价50万元以上的通用设备0台（套），购置费0万元；安排购置单价100万元以上专用设备0台（套），购置费0万元。</w:t>
      </w:r>
    </w:p>
    <w:p w14:paraId="1310A37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（五）绩效目标设置情况。</w:t>
      </w:r>
    </w:p>
    <w:p w14:paraId="6821DE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2024年</w:t>
      </w:r>
      <w:r>
        <w:rPr>
          <w:rFonts w:hint="default" w:ascii="Times New Roman" w:hAnsi="Times New Roman" w:eastAsia="仿宋_GB2312" w:cs="Times New Roman"/>
          <w:kern w:val="0"/>
          <w:sz w:val="32"/>
          <w:szCs w:val="32"/>
        </w:rPr>
        <w:t>，淮北市委党校</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lang w:val="en-US" w:eastAsia="zh-CN"/>
        </w:rPr>
        <w:t>520</w:t>
      </w:r>
      <w:r>
        <w:rPr>
          <w:rFonts w:hint="default" w:ascii="Times New Roman" w:hAnsi="Times New Roman" w:eastAsia="仿宋_GB2312" w:cs="Times New Roman"/>
          <w:kern w:val="0"/>
          <w:sz w:val="32"/>
          <w:szCs w:val="32"/>
        </w:rPr>
        <w:t>万元、政府性基金预算当年财政拨款0万元、财政专户管理资金当年安排</w:t>
      </w:r>
      <w:r>
        <w:rPr>
          <w:rFonts w:hint="eastAsia" w:ascii="Times New Roman" w:hAnsi="Times New Roman" w:eastAsia="仿宋_GB2312" w:cs="Times New Roman"/>
          <w:kern w:val="0"/>
          <w:sz w:val="32"/>
          <w:szCs w:val="32"/>
          <w:lang w:val="en-US" w:eastAsia="zh-CN"/>
        </w:rPr>
        <w:t>921</w:t>
      </w:r>
      <w:r>
        <w:rPr>
          <w:rFonts w:hint="default" w:ascii="Times New Roman" w:hAnsi="Times New Roman" w:eastAsia="仿宋_GB2312" w:cs="Times New Roman"/>
          <w:kern w:val="0"/>
          <w:sz w:val="32"/>
          <w:szCs w:val="32"/>
        </w:rPr>
        <w:t>万元。</w:t>
      </w:r>
    </w:p>
    <w:p w14:paraId="0419EC9F">
      <w:pPr>
        <w:keepNext w:val="0"/>
        <w:keepLines w:val="0"/>
        <w:pageBreakBefore w:val="0"/>
        <w:widowControl w:val="0"/>
        <w:kinsoku/>
        <w:wordWrap/>
        <w:overflowPunct/>
        <w:topLinePunct w:val="0"/>
        <w:autoSpaceDE/>
        <w:autoSpaceDN/>
        <w:bidi w:val="0"/>
        <w:spacing w:line="560" w:lineRule="exact"/>
        <w:textAlignment w:val="auto"/>
      </w:pPr>
    </w:p>
    <w:p w14:paraId="0AA75983">
      <w:pPr>
        <w:pStyle w:val="4"/>
        <w:adjustRightInd w:val="0"/>
        <w:snapToGrid w:val="0"/>
        <w:spacing w:line="560" w:lineRule="exact"/>
        <w:jc w:val="center"/>
        <w:rPr>
          <w:rFonts w:ascii="TimesNewRoman" w:hAnsi="TimesNewRoman" w:eastAsia="黑体" w:cs="TimesNewRoman"/>
          <w:bCs/>
          <w:sz w:val="36"/>
          <w:szCs w:val="36"/>
        </w:rPr>
      </w:pPr>
    </w:p>
    <w:p w14:paraId="3CB7599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6C4941E6"/>
    <w:p w14:paraId="6BBB0F0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7AB94C5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675BC89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5D813D5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四、基本支出：</w:t>
      </w:r>
      <w:r>
        <w:rPr>
          <w:rFonts w:hint="eastAsia" w:ascii="TimesNewRoman" w:hAnsi="TimesNewRoman" w:eastAsia="仿宋_GB2312" w:cs="TimesNewRoman"/>
          <w:sz w:val="32"/>
          <w:szCs w:val="32"/>
        </w:rPr>
        <w:t>指为保障机构正常运转、完成日常工作任务而发生的人员支出和公用支出。</w:t>
      </w:r>
    </w:p>
    <w:p w14:paraId="26C242A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五、项目支出：</w:t>
      </w:r>
      <w:r>
        <w:rPr>
          <w:rFonts w:hint="eastAsia" w:ascii="TimesNewRoman" w:hAnsi="TimesNewRoman" w:eastAsia="仿宋_GB2312" w:cs="TimesNewRoman"/>
          <w:sz w:val="32"/>
          <w:szCs w:val="32"/>
        </w:rPr>
        <w:t>指在除基本支出之外的支出，主要用于完成特定的工作任务和事业发展目标。</w:t>
      </w:r>
    </w:p>
    <w:p w14:paraId="2725C814">
      <w:pPr>
        <w:pStyle w:val="4"/>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 xml:space="preserve">六、机关运行经费: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物业管理费、公务用车运行维护费以及其他费用。</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Times New Roman"/>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汉仪中秀体简">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cxZDk3ZTMzMmY2ODVhYjBmYzBlOThhZmY4ZTJiMmMifQ=="/>
  </w:docVars>
  <w:rsids>
    <w:rsidRoot w:val="00735435"/>
    <w:rsid w:val="00276F83"/>
    <w:rsid w:val="002A7356"/>
    <w:rsid w:val="004F5EA6"/>
    <w:rsid w:val="0061305E"/>
    <w:rsid w:val="006423DC"/>
    <w:rsid w:val="00735435"/>
    <w:rsid w:val="007B0B74"/>
    <w:rsid w:val="00C308F5"/>
    <w:rsid w:val="00CA74CF"/>
    <w:rsid w:val="00CB7013"/>
    <w:rsid w:val="00D74E8A"/>
    <w:rsid w:val="066E0632"/>
    <w:rsid w:val="0BC4417D"/>
    <w:rsid w:val="0F0345FE"/>
    <w:rsid w:val="11E60061"/>
    <w:rsid w:val="13A36505"/>
    <w:rsid w:val="13A43336"/>
    <w:rsid w:val="153F1CC2"/>
    <w:rsid w:val="16CA6D8D"/>
    <w:rsid w:val="170D19BD"/>
    <w:rsid w:val="17940667"/>
    <w:rsid w:val="17E51824"/>
    <w:rsid w:val="1DA428F1"/>
    <w:rsid w:val="23FA22E6"/>
    <w:rsid w:val="25301CA2"/>
    <w:rsid w:val="2B323AA6"/>
    <w:rsid w:val="2C7B63A9"/>
    <w:rsid w:val="2CB019B4"/>
    <w:rsid w:val="2ECE1C70"/>
    <w:rsid w:val="30F85B31"/>
    <w:rsid w:val="3150716E"/>
    <w:rsid w:val="324923B5"/>
    <w:rsid w:val="38713DFF"/>
    <w:rsid w:val="39995A97"/>
    <w:rsid w:val="3DBF5B1F"/>
    <w:rsid w:val="3FF550EC"/>
    <w:rsid w:val="452571C2"/>
    <w:rsid w:val="4A342B0D"/>
    <w:rsid w:val="4B7B0B07"/>
    <w:rsid w:val="4EB569B6"/>
    <w:rsid w:val="51AA25AD"/>
    <w:rsid w:val="52E3415A"/>
    <w:rsid w:val="58451344"/>
    <w:rsid w:val="5997285B"/>
    <w:rsid w:val="5E38380B"/>
    <w:rsid w:val="5F2F2FBB"/>
    <w:rsid w:val="605E5D75"/>
    <w:rsid w:val="60F068AB"/>
    <w:rsid w:val="640656EE"/>
    <w:rsid w:val="6D4C0F64"/>
    <w:rsid w:val="77AD0148"/>
    <w:rsid w:val="7944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0"/>
    <w:rPr>
      <w:rFonts w:ascii="Calibri" w:hAnsi="Calibri" w:cs="黑体"/>
      <w:kern w:val="2"/>
      <w:sz w:val="18"/>
      <w:szCs w:val="18"/>
    </w:rPr>
  </w:style>
  <w:style w:type="character" w:customStyle="1" w:styleId="8">
    <w:name w:val="页脚 字符"/>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5328</Words>
  <Characters>6112</Characters>
  <Lines>49</Lines>
  <Paragraphs>13</Paragraphs>
  <TotalTime>8</TotalTime>
  <ScaleCrop>false</ScaleCrop>
  <LinksUpToDate>false</LinksUpToDate>
  <CharactersWithSpaces>6343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2023-01-30T09:51:00Z</dcterms:created>
  <dc:creator>lenovo</dc:creator>
  <cp:lastModifiedBy>马天成</cp:lastModifiedBy>
  <cp:lastPrinted>2024-02-26T10:54:00Z</cp:lastPrinted>
  <dcterms:modified xsi:type="dcterms:W3CDTF">2024-12-16T07:04:35Z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D79D3A21AA104C429C5D19AE40890172_12</vt:lpwstr>
  </property>
</Properties>
</file>